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00" w:afterAutospacing="0" w:line="276" w:lineRule="auto"/>
        <w:jc w:val="both"/>
        <w:rPr>
          <w:sz w:val="36"/>
          <w:szCs w:val="36"/>
        </w:rPr>
      </w:pPr>
      <w:r>
        <w:rPr>
          <w:rFonts w:ascii="Arial" w:hAnsi="Arial" w:cs="Arial"/>
          <w:b/>
          <w:sz w:val="36"/>
          <w:szCs w:val="36"/>
        </w:rPr>
        <w:t>监督索引号53342200236001000</w:t>
      </w:r>
    </w:p>
    <w:p>
      <w:pPr>
        <w:pStyle w:val="2"/>
        <w:keepNext w:val="0"/>
        <w:keepLines w:val="0"/>
        <w:widowControl/>
        <w:suppressLineNumbers w:val="0"/>
        <w:spacing w:before="0" w:beforeAutospacing="0" w:after="200" w:afterAutospacing="0" w:line="276" w:lineRule="auto"/>
        <w:jc w:val="center"/>
        <w:rPr>
          <w:sz w:val="36"/>
          <w:szCs w:val="36"/>
        </w:rPr>
      </w:pPr>
      <w:r>
        <w:rPr>
          <w:rFonts w:hint="eastAsia" w:ascii="宋体" w:hAnsi="宋体" w:eastAsia="宋体" w:cs="宋体"/>
          <w:sz w:val="36"/>
          <w:szCs w:val="36"/>
        </w:rPr>
        <w:t>德钦县教育体育局</w:t>
      </w:r>
      <w:r>
        <w:rPr>
          <w:rFonts w:ascii="方正小标宋简体" w:hAnsi="方正小标宋简体" w:eastAsia="方正小标宋简体" w:cs="方正小标宋简体"/>
          <w:sz w:val="36"/>
          <w:szCs w:val="36"/>
        </w:rPr>
        <w:t>2019</w:t>
      </w:r>
      <w:r>
        <w:rPr>
          <w:rFonts w:hint="default" w:ascii="方正小标宋简体" w:hAnsi="方正小标宋简体" w:eastAsia="方正小标宋简体" w:cs="方正小标宋简体"/>
          <w:sz w:val="36"/>
          <w:szCs w:val="36"/>
        </w:rPr>
        <w:t>年度部门决算</w:t>
      </w:r>
    </w:p>
    <w:p>
      <w:pPr>
        <w:pStyle w:val="2"/>
        <w:keepNext w:val="0"/>
        <w:keepLines w:val="0"/>
        <w:widowControl/>
        <w:suppressLineNumbers w:val="0"/>
        <w:spacing w:before="0" w:beforeAutospacing="0" w:after="200" w:afterAutospacing="0" w:line="276" w:lineRule="auto"/>
        <w:rPr>
          <w:sz w:val="30"/>
          <w:szCs w:val="30"/>
        </w:rPr>
      </w:pPr>
      <w:r>
        <w:rPr>
          <w:rFonts w:ascii="黑体" w:hAnsi="宋体" w:eastAsia="黑体" w:cs="黑体"/>
          <w:sz w:val="30"/>
          <w:szCs w:val="30"/>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目录</w:t>
      </w:r>
    </w:p>
    <w:p>
      <w:pPr>
        <w:pStyle w:val="2"/>
        <w:keepNext w:val="0"/>
        <w:keepLines w:val="0"/>
        <w:widowControl/>
        <w:suppressLineNumbers w:val="0"/>
        <w:spacing w:before="0" w:beforeAutospacing="0" w:after="200" w:afterAutospacing="0" w:line="276" w:lineRule="auto"/>
        <w:rPr>
          <w:sz w:val="30"/>
          <w:szCs w:val="30"/>
        </w:rPr>
      </w:pPr>
      <w:r>
        <w:rPr>
          <w:rFonts w:hint="eastAsia" w:ascii="黑体" w:hAnsi="宋体" w:eastAsia="黑体" w:cs="黑体"/>
          <w:sz w:val="30"/>
          <w:szCs w:val="30"/>
        </w:rPr>
        <w:t>第一部分 单位概况</w:t>
      </w:r>
    </w:p>
    <w:p>
      <w:pPr>
        <w:pStyle w:val="2"/>
        <w:keepNext w:val="0"/>
        <w:keepLines w:val="0"/>
        <w:widowControl/>
        <w:suppressLineNumbers w:val="0"/>
        <w:spacing w:before="0" w:beforeAutospacing="0" w:after="200" w:afterAutospacing="0" w:line="300" w:lineRule="atLeast"/>
      </w:pPr>
      <w:r>
        <w:rPr>
          <w:rFonts w:ascii="楷体" w:hAnsi="楷体" w:eastAsia="楷体" w:cs="楷体"/>
          <w:sz w:val="30"/>
          <w:szCs w:val="30"/>
        </w:rPr>
        <w:t>一、主要职能</w:t>
      </w:r>
    </w:p>
    <w:p>
      <w:pPr>
        <w:pStyle w:val="2"/>
        <w:keepNext w:val="0"/>
        <w:keepLines w:val="0"/>
        <w:widowControl/>
        <w:suppressLineNumbers w:val="0"/>
        <w:spacing w:before="0" w:beforeAutospacing="0" w:after="200" w:afterAutospacing="0" w:line="300" w:lineRule="atLeast"/>
        <w:ind w:left="0" w:firstLine="600"/>
      </w:pPr>
      <w:r>
        <w:rPr>
          <w:rFonts w:hint="eastAsia" w:ascii="楷体" w:hAnsi="楷体" w:eastAsia="楷体" w:cs="楷体"/>
          <w:sz w:val="30"/>
          <w:szCs w:val="30"/>
        </w:rPr>
        <w:t>1、贯彻执行党和国家教育、体育和语言文字工作方针、政策、法律、法规、规章，依法拟定并组织实施全县教育、体育和语言文字工作改革与发展规划。</w:t>
      </w:r>
    </w:p>
    <w:p>
      <w:pPr>
        <w:pStyle w:val="2"/>
        <w:keepNext w:val="0"/>
        <w:keepLines w:val="0"/>
        <w:widowControl/>
        <w:suppressLineNumbers w:val="0"/>
        <w:spacing w:before="0" w:beforeAutospacing="0" w:after="200" w:afterAutospacing="0" w:line="300" w:lineRule="atLeast"/>
        <w:ind w:left="0" w:firstLine="600"/>
      </w:pPr>
      <w:r>
        <w:rPr>
          <w:rFonts w:hint="eastAsia" w:ascii="楷体" w:hAnsi="楷体" w:eastAsia="楷体" w:cs="楷体"/>
          <w:sz w:val="30"/>
          <w:szCs w:val="30"/>
        </w:rPr>
        <w:t>2、负责指导全县学前教育、基础教育、职业技术教育、高中教育、成人教育、特殊教育、广播电视教育；会同有关部门管理、指导、协调各乡镇、各行业的教育工作。指导和实施学校思想品德、体育、卫生、艺术教育工作和国防教育工作。</w:t>
      </w:r>
    </w:p>
    <w:p>
      <w:pPr>
        <w:pStyle w:val="2"/>
        <w:keepNext w:val="0"/>
        <w:keepLines w:val="0"/>
        <w:widowControl/>
        <w:suppressLineNumbers w:val="0"/>
        <w:spacing w:before="0" w:beforeAutospacing="0" w:after="200" w:afterAutospacing="0" w:line="300" w:lineRule="atLeast"/>
        <w:ind w:left="0" w:firstLine="600"/>
      </w:pPr>
      <w:r>
        <w:rPr>
          <w:rFonts w:hint="eastAsia" w:ascii="楷体" w:hAnsi="楷体" w:eastAsia="楷体" w:cs="楷体"/>
          <w:sz w:val="30"/>
          <w:szCs w:val="30"/>
        </w:rPr>
        <w:t xml:space="preserve">3、负责教育体育系统人才队伍建设工作，建立均衡教育体育人力资源的配置机制，逐步实施师资在不同学校之间的合理流动；负责教职工的考核培训等工作；按照干部管理规定，负责全县各类学校、局属单位领导干部的推荐、考察、任用，推行校长聘任制。 </w:t>
      </w:r>
    </w:p>
    <w:p>
      <w:pPr>
        <w:pStyle w:val="2"/>
        <w:keepNext w:val="0"/>
        <w:keepLines w:val="0"/>
        <w:widowControl/>
        <w:suppressLineNumbers w:val="0"/>
        <w:spacing w:before="0" w:beforeAutospacing="0" w:after="200" w:afterAutospacing="0" w:line="300" w:lineRule="atLeast"/>
        <w:ind w:left="0" w:firstLine="600"/>
      </w:pPr>
      <w:r>
        <w:rPr>
          <w:rFonts w:hint="eastAsia" w:ascii="楷体" w:hAnsi="楷体" w:eastAsia="楷体" w:cs="楷体"/>
          <w:sz w:val="30"/>
          <w:szCs w:val="30"/>
        </w:rPr>
        <w:t>4、统筹安排全县教育事业经费、教育专项经费；会同有关部门拟定筹措教育经费、教育拨款、教育基建投资的政策和管理办法；会同有关部门检查、指导监督、审计全县教育事业经费的安排和使用情况；实施家庭困难学生资助工作。指导实施中小学危房改造工程和校舍维护，改善办学条件。</w:t>
      </w:r>
    </w:p>
    <w:p>
      <w:pPr>
        <w:pStyle w:val="2"/>
        <w:keepNext w:val="0"/>
        <w:keepLines w:val="0"/>
        <w:widowControl/>
        <w:suppressLineNumbers w:val="0"/>
        <w:spacing w:before="0" w:beforeAutospacing="0" w:after="200" w:afterAutospacing="0" w:line="300" w:lineRule="atLeast"/>
        <w:ind w:left="0" w:firstLine="600"/>
      </w:pPr>
      <w:r>
        <w:rPr>
          <w:rFonts w:hint="eastAsia" w:ascii="楷体" w:hAnsi="楷体" w:eastAsia="楷体" w:cs="楷体"/>
          <w:sz w:val="30"/>
          <w:szCs w:val="30"/>
        </w:rPr>
        <w:t>5、负责全县教育体育督导工作，负责组织对中等及其以下教育、扫除青壮年文盲工作的督导检查和评估验收工作。</w:t>
      </w:r>
    </w:p>
    <w:p>
      <w:pPr>
        <w:pStyle w:val="2"/>
        <w:keepNext w:val="0"/>
        <w:keepLines w:val="0"/>
        <w:widowControl/>
        <w:suppressLineNumbers w:val="0"/>
        <w:spacing w:before="0" w:beforeAutospacing="0" w:after="200" w:afterAutospacing="0" w:line="300" w:lineRule="atLeast"/>
      </w:pPr>
      <w:r>
        <w:rPr>
          <w:rFonts w:hint="eastAsia" w:ascii="楷体" w:hAnsi="楷体" w:eastAsia="楷体" w:cs="楷体"/>
          <w:sz w:val="30"/>
          <w:szCs w:val="30"/>
        </w:rPr>
        <w:t>二、部门基本情况</w:t>
      </w:r>
    </w:p>
    <w:p>
      <w:pPr>
        <w:pStyle w:val="2"/>
        <w:keepNext w:val="0"/>
        <w:keepLines w:val="0"/>
        <w:widowControl/>
        <w:suppressLineNumbers w:val="0"/>
        <w:spacing w:before="0" w:beforeAutospacing="0" w:after="200" w:afterAutospacing="0" w:line="300" w:lineRule="atLeast"/>
        <w:ind w:left="0" w:firstLine="600"/>
      </w:pPr>
      <w:r>
        <w:rPr>
          <w:rFonts w:hint="eastAsia" w:ascii="楷体" w:hAnsi="楷体" w:eastAsia="楷体" w:cs="楷体"/>
          <w:sz w:val="30"/>
          <w:szCs w:val="30"/>
        </w:rPr>
        <w:t>全县共有初级中学1所，小学4所，县幼儿园1所，乡镇幼儿园7所，村级学前点35所，附属幼儿园3所，县教师进修学校1所。全县适龄儿童3863人，适龄儿童在校生3862人，小学入学率99.97%，小学辍学率为0%；全县适龄少年1917人，初中在校生1917人，初中毛入学率110.43%，初中辍学率为0%；全县在园儿童1577人，学前三年毛入园率81.13%，学前一年儿童毛入园率99.69%。</w:t>
      </w:r>
    </w:p>
    <w:p>
      <w:pPr>
        <w:pStyle w:val="2"/>
        <w:keepNext w:val="0"/>
        <w:keepLines w:val="0"/>
        <w:widowControl/>
        <w:suppressLineNumbers w:val="0"/>
        <w:spacing w:before="0" w:beforeAutospacing="0" w:after="200" w:afterAutospacing="0" w:line="276" w:lineRule="auto"/>
        <w:rPr>
          <w:sz w:val="30"/>
          <w:szCs w:val="30"/>
        </w:rPr>
      </w:pPr>
      <w:r>
        <w:rPr>
          <w:rFonts w:hint="eastAsia" w:ascii="黑体" w:hAnsi="宋体" w:eastAsia="黑体" w:cs="黑体"/>
          <w:sz w:val="30"/>
          <w:szCs w:val="30"/>
        </w:rPr>
        <w:t>第二部分 2019年度部门决算表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一、收入支出决算总表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二、收入决算表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三、支出决算表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四、财政拨款收入支出决算总表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五、一般公共预算财政拨款收入支出决算表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六、一般公共预算财政拨款基本支出决算表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七、政府性基金预算财政拨款收入支出决算表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八、“三公”经费、行政参公单位机关运行经费情况表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九、项目支出绩效自评</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十、项目支出绩效自评报告（表）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十一、部门整体支出绩效自评报告</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十二、部门整体支出绩效自评表</w:t>
      </w:r>
    </w:p>
    <w:p>
      <w:pPr>
        <w:pStyle w:val="2"/>
        <w:keepNext w:val="0"/>
        <w:keepLines w:val="0"/>
        <w:widowControl/>
        <w:suppressLineNumbers w:val="0"/>
        <w:spacing w:before="0" w:beforeAutospacing="0" w:after="200" w:afterAutospacing="0" w:line="276" w:lineRule="auto"/>
        <w:rPr>
          <w:sz w:val="30"/>
          <w:szCs w:val="30"/>
        </w:rPr>
      </w:pPr>
      <w:r>
        <w:rPr>
          <w:rFonts w:hint="eastAsia" w:ascii="黑体" w:hAnsi="宋体" w:eastAsia="黑体" w:cs="黑体"/>
          <w:sz w:val="30"/>
          <w:szCs w:val="30"/>
        </w:rPr>
        <w:t>第三部分  2019年度部门决算情况说明</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一、收入决算情况说明</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eastAsia" w:ascii="楷体" w:hAnsi="楷体" w:eastAsia="楷体" w:cs="楷体"/>
          <w:sz w:val="30"/>
          <w:szCs w:val="30"/>
        </w:rPr>
        <w:t>德钦县教育体育局2019年度收入总额6992.61万元，其中财政拨款收入6992.61万元，其他收入0万元。</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二、支出决算情况说明</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eastAsia" w:ascii="楷体" w:hAnsi="楷体" w:eastAsia="楷体" w:cs="楷体"/>
          <w:sz w:val="30"/>
          <w:szCs w:val="30"/>
        </w:rPr>
        <w:t>德钦县教育体育局2019年度总支出7261.29万元，其中基本支出1253.96万元，项目支出6007.32万元。</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三、一般公共预算财政拨款支出决算情况说明</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eastAsia" w:ascii="楷体" w:hAnsi="楷体" w:eastAsia="楷体" w:cs="楷体"/>
          <w:sz w:val="30"/>
          <w:szCs w:val="30"/>
        </w:rPr>
        <w:t>德钦县教育体育局2019年度一般公共预算财政拨款支出6807.66万元，其中政府性基金预算拨款支出156.69万元。</w:t>
      </w:r>
    </w:p>
    <w:p>
      <w:pPr>
        <w:pStyle w:val="2"/>
        <w:keepNext w:val="0"/>
        <w:keepLines w:val="0"/>
        <w:widowControl/>
        <w:suppressLineNumbers w:val="0"/>
        <w:spacing w:before="100" w:beforeAutospacing="0" w:after="100" w:afterAutospacing="0" w:line="360" w:lineRule="auto"/>
        <w:rPr>
          <w:sz w:val="30"/>
          <w:szCs w:val="30"/>
        </w:rPr>
      </w:pPr>
      <w:r>
        <w:rPr>
          <w:rFonts w:hint="eastAsia" w:ascii="楷体" w:hAnsi="楷体" w:eastAsia="楷体" w:cs="楷体"/>
          <w:sz w:val="30"/>
          <w:szCs w:val="30"/>
        </w:rPr>
        <w:t>四、一般公共预算财政拨款“三公”经费支出决算情况说明</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eastAsia" w:ascii="楷体" w:hAnsi="楷体" w:eastAsia="楷体" w:cs="楷体"/>
          <w:sz w:val="30"/>
          <w:szCs w:val="30"/>
        </w:rPr>
        <w:t>德钦县教育局2019年度三公经费总支出22.93万元，其中公务用车运行维护费5.32万元，公务接待费17.62万元。</w:t>
      </w:r>
    </w:p>
    <w:p>
      <w:pPr>
        <w:pStyle w:val="2"/>
        <w:keepNext w:val="0"/>
        <w:keepLines w:val="0"/>
        <w:widowControl/>
        <w:suppressLineNumbers w:val="0"/>
        <w:spacing w:before="100" w:beforeAutospacing="0" w:after="100" w:afterAutospacing="0" w:line="360" w:lineRule="auto"/>
        <w:rPr>
          <w:sz w:val="30"/>
          <w:szCs w:val="30"/>
        </w:rPr>
      </w:pPr>
      <w:r>
        <w:rPr>
          <w:rFonts w:hint="eastAsia" w:ascii="黑体" w:hAnsi="宋体" w:eastAsia="黑体" w:cs="黑体"/>
          <w:sz w:val="30"/>
          <w:szCs w:val="30"/>
        </w:rPr>
        <w:t>第四部分</w:t>
      </w:r>
      <w:r>
        <w:rPr>
          <w:rFonts w:hint="eastAsia" w:ascii="楷体" w:hAnsi="楷体" w:eastAsia="楷体" w:cs="楷体"/>
          <w:sz w:val="30"/>
          <w:szCs w:val="30"/>
        </w:rPr>
        <w:t xml:space="preserve">  </w:t>
      </w:r>
      <w:r>
        <w:rPr>
          <w:rFonts w:hint="eastAsia" w:ascii="黑体" w:hAnsi="宋体" w:eastAsia="黑体" w:cs="黑体"/>
          <w:sz w:val="30"/>
          <w:szCs w:val="30"/>
        </w:rPr>
        <w:t>其他重要事项及相关口径情况说明</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一、机关运行经费支出情况</w:t>
      </w:r>
    </w:p>
    <w:p>
      <w:pPr>
        <w:pStyle w:val="2"/>
        <w:keepNext w:val="0"/>
        <w:keepLines w:val="0"/>
        <w:widowControl/>
        <w:suppressLineNumbers w:val="0"/>
        <w:spacing w:before="0" w:beforeAutospacing="0" w:after="200" w:afterAutospacing="0" w:line="276" w:lineRule="auto"/>
        <w:rPr>
          <w:sz w:val="30"/>
          <w:szCs w:val="30"/>
        </w:rPr>
      </w:pPr>
      <w:r>
        <w:rPr>
          <w:rFonts w:ascii="仿宋_GB2312" w:eastAsia="仿宋_GB2312" w:cs="仿宋_GB2312"/>
          <w:sz w:val="30"/>
          <w:szCs w:val="30"/>
        </w:rPr>
        <w:t>二、</w:t>
      </w:r>
      <w:r>
        <w:rPr>
          <w:rFonts w:hint="eastAsia" w:ascii="楷体" w:hAnsi="楷体" w:eastAsia="楷体" w:cs="楷体"/>
          <w:sz w:val="30"/>
          <w:szCs w:val="30"/>
        </w:rPr>
        <w:t>国有资产占用情况</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三、政府采购支出情况</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四、部门绩效自评情况</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（一）项目支出绩效自评/项目支出绩效自评报告（表）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（二）部门整体支出绩效自评报告</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（三）部门整体支出绩效自评表</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五、其他重要事项情况说明、</w:t>
      </w:r>
    </w:p>
    <w:p>
      <w:pPr>
        <w:pStyle w:val="2"/>
        <w:keepNext w:val="0"/>
        <w:keepLines w:val="0"/>
        <w:widowControl/>
        <w:suppressLineNumbers w:val="0"/>
        <w:spacing w:before="0" w:beforeAutospacing="0" w:after="200" w:afterAutospacing="0" w:line="276" w:lineRule="auto"/>
        <w:rPr>
          <w:sz w:val="30"/>
          <w:szCs w:val="30"/>
        </w:rPr>
      </w:pPr>
      <w:r>
        <w:rPr>
          <w:rFonts w:hint="eastAsia" w:ascii="楷体" w:hAnsi="楷体" w:eastAsia="楷体" w:cs="楷体"/>
          <w:sz w:val="30"/>
          <w:szCs w:val="30"/>
        </w:rPr>
        <w:t>六、相关口径说明</w:t>
      </w:r>
    </w:p>
    <w:p>
      <w:pPr>
        <w:pStyle w:val="2"/>
        <w:keepNext w:val="0"/>
        <w:keepLines w:val="0"/>
        <w:widowControl/>
        <w:suppressLineNumbers w:val="0"/>
        <w:spacing w:before="100" w:beforeAutospacing="0" w:after="100" w:afterAutospacing="0" w:line="360" w:lineRule="auto"/>
        <w:rPr>
          <w:sz w:val="30"/>
          <w:szCs w:val="30"/>
        </w:rPr>
      </w:pPr>
      <w:r>
        <w:rPr>
          <w:rFonts w:hint="eastAsia" w:ascii="黑体" w:hAnsi="宋体" w:eastAsia="黑体" w:cs="黑体"/>
          <w:sz w:val="30"/>
          <w:szCs w:val="30"/>
        </w:rPr>
        <w:t>第五部分  名词解释</w:t>
      </w:r>
    </w:p>
    <w:p>
      <w:pPr>
        <w:pStyle w:val="2"/>
        <w:keepNext w:val="0"/>
        <w:keepLines w:val="0"/>
        <w:widowControl/>
        <w:suppressLineNumbers w:val="0"/>
        <w:spacing w:before="100" w:beforeAutospacing="0" w:after="100" w:afterAutospacing="0" w:line="360" w:lineRule="auto"/>
        <w:rPr>
          <w:sz w:val="30"/>
          <w:szCs w:val="30"/>
        </w:rPr>
      </w:pPr>
      <w:r>
        <w:rPr>
          <w:rFonts w:hint="eastAsia" w:ascii="黑体" w:hAnsi="宋体" w:eastAsia="黑体" w:cs="黑体"/>
          <w:sz w:val="30"/>
          <w:szCs w:val="30"/>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both"/>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第一部分  德钦县教育体育局概况</w:t>
      </w:r>
    </w:p>
    <w:p>
      <w:pPr>
        <w:pStyle w:val="2"/>
        <w:keepNext w:val="0"/>
        <w:keepLines w:val="0"/>
        <w:widowControl/>
        <w:suppressLineNumbers w:val="0"/>
        <w:spacing w:before="0" w:beforeAutospacing="0" w:after="200" w:afterAutospacing="0" w:line="600" w:lineRule="atLeast"/>
        <w:ind w:left="0" w:firstLine="600"/>
        <w:jc w:val="both"/>
      </w:pPr>
      <w:r>
        <w:rPr>
          <w:rFonts w:hint="eastAsia" w:ascii="黑体" w:hAnsi="宋体" w:eastAsia="黑体" w:cs="黑体"/>
          <w:sz w:val="30"/>
          <w:szCs w:val="30"/>
        </w:rPr>
        <w:t>一、主要职能</w:t>
      </w:r>
    </w:p>
    <w:p>
      <w:pPr>
        <w:pStyle w:val="2"/>
        <w:keepNext w:val="0"/>
        <w:keepLines w:val="0"/>
        <w:widowControl/>
        <w:suppressLineNumbers w:val="0"/>
        <w:spacing w:before="0" w:beforeAutospacing="0" w:after="200" w:afterAutospacing="0" w:line="600" w:lineRule="atLeast"/>
        <w:ind w:left="0" w:firstLine="600"/>
        <w:jc w:val="both"/>
      </w:pPr>
      <w:r>
        <w:rPr>
          <w:rFonts w:hint="eastAsia" w:ascii="楷体" w:hAnsi="楷体" w:eastAsia="楷体" w:cs="楷体"/>
          <w:sz w:val="30"/>
          <w:szCs w:val="30"/>
        </w:rPr>
        <w:t>（一）主要职能</w:t>
      </w:r>
    </w:p>
    <w:p>
      <w:pPr>
        <w:pStyle w:val="2"/>
        <w:keepNext w:val="0"/>
        <w:keepLines w:val="0"/>
        <w:widowControl/>
        <w:suppressLineNumbers w:val="0"/>
        <w:spacing w:before="93" w:beforeAutospacing="0" w:after="200" w:afterAutospacing="0" w:line="600" w:lineRule="atLeast"/>
        <w:ind w:left="0" w:firstLine="1200"/>
        <w:jc w:val="both"/>
      </w:pPr>
      <w:r>
        <w:rPr>
          <w:rFonts w:hint="default" w:ascii="仿宋_GB2312" w:eastAsia="仿宋_GB2312" w:cs="仿宋_GB2312"/>
          <w:sz w:val="30"/>
          <w:szCs w:val="30"/>
        </w:rPr>
        <w:t>参照政府批准的“三定”方案：德钦县教育体育局为行政部门，编制人数行政为12人，事业31人，经费政府全额拨款。</w:t>
      </w:r>
      <w:r>
        <w:rPr>
          <w:rFonts w:hint="eastAsia" w:ascii="楷体" w:hAnsi="楷体" w:eastAsia="楷体" w:cs="楷体"/>
          <w:sz w:val="30"/>
          <w:szCs w:val="30"/>
        </w:rPr>
        <w:t>主要职能为</w:t>
      </w:r>
      <w:r>
        <w:rPr>
          <w:rFonts w:hint="default" w:ascii="仿宋_GB2312" w:eastAsia="仿宋_GB2312" w:cs="仿宋_GB2312"/>
          <w:sz w:val="30"/>
          <w:szCs w:val="30"/>
        </w:rPr>
        <w:t>贯彻执行党和国家教育、体育和语言文字工作方针、政策、法律、法规、规章，依法拟定并组织实施全县教育、体育和语言文字工作改革与发展规划。</w:t>
      </w:r>
    </w:p>
    <w:p>
      <w:pPr>
        <w:pStyle w:val="2"/>
        <w:keepNext w:val="0"/>
        <w:keepLines w:val="0"/>
        <w:widowControl/>
        <w:suppressLineNumbers w:val="0"/>
        <w:spacing w:before="93" w:beforeAutospacing="0" w:after="200" w:afterAutospacing="0" w:line="600" w:lineRule="atLeast"/>
        <w:ind w:left="0" w:firstLine="600"/>
        <w:jc w:val="both"/>
      </w:pPr>
      <w:r>
        <w:rPr>
          <w:rFonts w:hint="eastAsia" w:ascii="楷体" w:hAnsi="楷体" w:eastAsia="楷体" w:cs="楷体"/>
          <w:sz w:val="30"/>
          <w:szCs w:val="30"/>
        </w:rPr>
        <w:t>（二）2019年度重点工作任务介绍</w:t>
      </w:r>
    </w:p>
    <w:p>
      <w:pPr>
        <w:pStyle w:val="2"/>
        <w:keepNext w:val="0"/>
        <w:keepLines w:val="0"/>
        <w:widowControl/>
        <w:suppressLineNumbers w:val="0"/>
        <w:spacing w:before="0" w:beforeAutospacing="0" w:after="200" w:afterAutospacing="0" w:line="660" w:lineRule="atLeast"/>
        <w:ind w:left="0" w:firstLine="420"/>
      </w:pPr>
      <w:r>
        <w:rPr>
          <w:rFonts w:hint="eastAsia" w:ascii="宋体" w:hAnsi="宋体" w:eastAsia="宋体" w:cs="宋体"/>
          <w:sz w:val="21"/>
          <w:szCs w:val="21"/>
        </w:rPr>
        <w:t>德钦县教育局</w:t>
      </w:r>
      <w:r>
        <w:rPr>
          <w:rFonts w:hint="default" w:ascii="Times New Roman" w:hAnsi="Times New Roman" w:cs="Times New Roman"/>
          <w:sz w:val="21"/>
          <w:szCs w:val="21"/>
        </w:rPr>
        <w:t>2019</w:t>
      </w:r>
      <w:r>
        <w:rPr>
          <w:rFonts w:hint="eastAsia" w:ascii="宋体" w:hAnsi="宋体" w:eastAsia="宋体" w:cs="宋体"/>
          <w:sz w:val="21"/>
          <w:szCs w:val="21"/>
        </w:rPr>
        <w:t>年度年度重点工作任务介绍：围绕脱贫攻坚核心工作，德钦教育通过抓“八个方面”不放松，稳推教育精准扶贫各项工作：一是抓控辍保学工作不放松。截至目前，全县义务教育阶段在校学生无辍学现象。控辍保学的重点和难点在残疾适龄人口及适龄入寺僧尼两个对象群上，采取的主要措施有：对适龄入学的僧尼集中办班实施义务教育；对适龄残疾儿童采取随班就读、送特校、送教上门等方式，切实保障适龄残疾人群的就学权利。二是抓农村幼儿教育建设不放松。</w:t>
      </w:r>
      <w:r>
        <w:rPr>
          <w:rFonts w:hint="default" w:ascii="Times New Roman" w:hAnsi="Times New Roman" w:cs="Times New Roman"/>
          <w:sz w:val="21"/>
          <w:szCs w:val="21"/>
        </w:rPr>
        <w:t>2019</w:t>
      </w:r>
      <w:r>
        <w:rPr>
          <w:rFonts w:hint="eastAsia" w:ascii="宋体" w:hAnsi="宋体" w:eastAsia="宋体" w:cs="宋体"/>
          <w:sz w:val="21"/>
          <w:szCs w:val="21"/>
        </w:rPr>
        <w:t>年进一步完善所村级幼儿园的设施设备和基础设施，全县实现标准化的幼儿园。三是抓贫困学生救助不放松。生源地信用助学贷款预发放371人次，发放资金290.14万元。迪庆藏区贫困大学生奖励计划预审通过623人，预计发放资金达311.5万元。审核通过学费代偿学生16人，预计发放资金20.93万元。我县雨露计划及大中专学生资助总人数2236人，预计下拨资金734.7万元（其中建档立卡户大中专学生679人，资助资金224.5万元（含：雨露计划251人，74.9万元）；高原农牧民贫困家庭大中专学生1557人，资助资金510.3万元）。四是开展三区三州教育脱贫攻坚项目，完善义务教育阶段、学前教育阶段及职业技术教育、教师进修学校的设施设备，总投入资金4186.28万元。</w:t>
      </w:r>
    </w:p>
    <w:p>
      <w:pPr>
        <w:pStyle w:val="2"/>
        <w:keepNext w:val="0"/>
        <w:keepLines w:val="0"/>
        <w:widowControl/>
        <w:suppressLineNumbers w:val="0"/>
        <w:spacing w:before="93" w:beforeAutospacing="0" w:after="200" w:afterAutospacing="0" w:line="600" w:lineRule="atLeast"/>
        <w:ind w:left="0" w:firstLine="630"/>
        <w:jc w:val="both"/>
      </w:pPr>
      <w:r>
        <w:rPr>
          <w:rFonts w:hint="default" w:ascii="仿宋_GB2312" w:eastAsia="仿宋_GB2312" w:cs="仿宋_GB2312"/>
          <w:sz w:val="30"/>
          <w:szCs w:val="30"/>
        </w:rPr>
        <w:t> </w:t>
      </w:r>
    </w:p>
    <w:p>
      <w:pPr>
        <w:pStyle w:val="2"/>
        <w:keepNext w:val="0"/>
        <w:keepLines w:val="0"/>
        <w:widowControl/>
        <w:suppressLineNumbers w:val="0"/>
        <w:spacing w:before="0" w:beforeAutospacing="0" w:after="200" w:afterAutospacing="0" w:line="600" w:lineRule="atLeast"/>
        <w:ind w:left="0" w:firstLine="600"/>
        <w:jc w:val="both"/>
      </w:pPr>
      <w:r>
        <w:rPr>
          <w:rFonts w:hint="eastAsia" w:ascii="黑体" w:hAnsi="宋体" w:eastAsia="黑体" w:cs="黑体"/>
          <w:sz w:val="30"/>
          <w:szCs w:val="30"/>
        </w:rPr>
        <w:t>二、部门基本情况</w:t>
      </w:r>
    </w:p>
    <w:p>
      <w:pPr>
        <w:pStyle w:val="2"/>
        <w:keepNext w:val="0"/>
        <w:keepLines w:val="0"/>
        <w:widowControl/>
        <w:suppressLineNumbers w:val="0"/>
        <w:spacing w:before="0" w:beforeAutospacing="0" w:after="200" w:afterAutospacing="0" w:line="600" w:lineRule="atLeast"/>
        <w:ind w:left="0" w:firstLine="600"/>
        <w:jc w:val="both"/>
      </w:pPr>
      <w:r>
        <w:rPr>
          <w:rFonts w:hint="eastAsia" w:ascii="楷体" w:hAnsi="楷体" w:eastAsia="楷体" w:cs="楷体"/>
          <w:sz w:val="30"/>
          <w:szCs w:val="30"/>
        </w:rPr>
        <w:t>（一）部门决算单位构成</w:t>
      </w:r>
    </w:p>
    <w:p>
      <w:pPr>
        <w:pStyle w:val="2"/>
        <w:keepNext w:val="0"/>
        <w:keepLines w:val="0"/>
        <w:widowControl/>
        <w:suppressLineNumbers w:val="0"/>
        <w:spacing w:before="0" w:beforeAutospacing="0" w:after="200" w:afterAutospacing="0" w:line="600" w:lineRule="atLeast"/>
        <w:ind w:left="0" w:firstLine="600"/>
        <w:jc w:val="both"/>
      </w:pPr>
      <w:r>
        <w:rPr>
          <w:rFonts w:hint="default" w:ascii="仿宋_GB2312" w:eastAsia="仿宋_GB2312" w:cs="仿宋_GB2312"/>
          <w:sz w:val="30"/>
          <w:szCs w:val="30"/>
        </w:rPr>
        <w:t>纳入德钦县教育局部门2019年度部门决算编报的单位共2个。其中：行政单位1个，参照公务员法管理的事业单位0个，其他事业单位1个。分别是：</w:t>
      </w:r>
    </w:p>
    <w:p>
      <w:pPr>
        <w:keepNext w:val="0"/>
        <w:keepLines w:val="0"/>
        <w:widowControl/>
        <w:numPr>
          <w:ilvl w:val="0"/>
          <w:numId w:val="1"/>
        </w:numPr>
        <w:suppressLineNumbers w:val="0"/>
        <w:spacing w:before="0" w:beforeAutospacing="1" w:after="200" w:afterAutospacing="0" w:line="600" w:lineRule="atLeast"/>
        <w:ind w:left="0" w:firstLine="600"/>
        <w:jc w:val="both"/>
        <w:rPr>
          <w:rFonts w:hint="default" w:ascii="仿宋_GB2312" w:eastAsia="仿宋_GB2312" w:cs="仿宋_GB2312"/>
          <w:sz w:val="30"/>
          <w:szCs w:val="30"/>
        </w:rPr>
      </w:pPr>
      <w:r>
        <w:rPr>
          <w:rFonts w:ascii="Times New Roman" w:hAnsi="Times New Roman" w:eastAsia="仿宋_GB2312" w:cs="Times New Roman"/>
          <w:sz w:val="14"/>
          <w:szCs w:val="14"/>
          <w:bdr w:val="none" w:color="auto" w:sz="0" w:space="0"/>
        </w:rPr>
        <w:t xml:space="preserve">         </w:t>
      </w:r>
      <w:r>
        <w:rPr>
          <w:rFonts w:hint="default" w:ascii="仿宋_GB2312" w:eastAsia="仿宋_GB2312" w:cs="仿宋_GB2312"/>
          <w:sz w:val="30"/>
          <w:szCs w:val="30"/>
          <w:bdr w:val="none" w:color="auto" w:sz="0" w:space="0"/>
        </w:rPr>
        <w:t>德钦县教育体育局（行政）</w:t>
      </w:r>
    </w:p>
    <w:p>
      <w:pPr>
        <w:keepNext w:val="0"/>
        <w:keepLines w:val="0"/>
        <w:widowControl/>
        <w:numPr>
          <w:ilvl w:val="0"/>
          <w:numId w:val="1"/>
        </w:numPr>
        <w:suppressLineNumbers w:val="0"/>
        <w:spacing w:before="0" w:beforeAutospacing="1" w:after="200" w:afterAutospacing="0" w:line="276" w:lineRule="auto"/>
        <w:ind w:left="0" w:firstLine="600"/>
        <w:jc w:val="both"/>
        <w:rPr>
          <w:rFonts w:hint="default" w:ascii="仿宋_GB2312" w:eastAsia="仿宋_GB2312" w:cs="仿宋_GB2312"/>
          <w:sz w:val="30"/>
          <w:szCs w:val="30"/>
        </w:rPr>
      </w:pPr>
      <w:r>
        <w:rPr>
          <w:rFonts w:hint="default" w:ascii="Times New Roman" w:hAnsi="Times New Roman" w:eastAsia="仿宋_GB2312" w:cs="Times New Roman"/>
          <w:sz w:val="14"/>
          <w:szCs w:val="14"/>
          <w:bdr w:val="none" w:color="auto" w:sz="0" w:space="0"/>
        </w:rPr>
        <w:t xml:space="preserve">         </w:t>
      </w:r>
      <w:r>
        <w:rPr>
          <w:rFonts w:hint="default" w:ascii="仿宋_GB2312" w:eastAsia="仿宋_GB2312" w:cs="仿宋_GB2312"/>
          <w:sz w:val="30"/>
          <w:szCs w:val="30"/>
          <w:bdr w:val="none" w:color="auto" w:sz="0" w:space="0"/>
        </w:rPr>
        <w:t>德钦县教育体育局（事业）</w:t>
      </w:r>
    </w:p>
    <w:p>
      <w:pPr>
        <w:pStyle w:val="2"/>
        <w:keepNext w:val="0"/>
        <w:keepLines w:val="0"/>
        <w:widowControl/>
        <w:suppressLineNumbers w:val="0"/>
        <w:spacing w:before="0" w:beforeAutospacing="0" w:after="200" w:afterAutospacing="0" w:line="276" w:lineRule="auto"/>
        <w:ind w:left="0" w:firstLine="600"/>
        <w:jc w:val="both"/>
        <w:rPr>
          <w:sz w:val="30"/>
          <w:szCs w:val="30"/>
        </w:rPr>
      </w:pPr>
      <w:r>
        <w:rPr>
          <w:rFonts w:hint="eastAsia" w:ascii="楷体" w:hAnsi="楷体" w:eastAsia="楷体" w:cs="楷体"/>
          <w:sz w:val="30"/>
          <w:szCs w:val="30"/>
        </w:rPr>
        <w:t xml:space="preserve">（二）部门人员和车辆的编制及实有情况 </w:t>
      </w:r>
    </w:p>
    <w:p>
      <w:pPr>
        <w:pStyle w:val="2"/>
        <w:keepNext w:val="0"/>
        <w:keepLines w:val="0"/>
        <w:widowControl/>
        <w:suppressLineNumbers w:val="0"/>
        <w:spacing w:before="0" w:beforeAutospacing="0" w:after="200" w:afterAutospacing="0" w:line="600" w:lineRule="atLeast"/>
        <w:ind w:left="0" w:firstLine="600"/>
        <w:jc w:val="both"/>
      </w:pPr>
      <w:r>
        <w:rPr>
          <w:rFonts w:hint="default" w:ascii="仿宋_GB2312" w:eastAsia="仿宋_GB2312" w:cs="仿宋_GB2312"/>
          <w:sz w:val="30"/>
          <w:szCs w:val="30"/>
        </w:rPr>
        <w:t>德钦县教育体育局部门2019年末实有人员编制43人。其中：行政编制12人（含行政工勤编制2人），事业编制31人（含参公管理事业编制0人）；在职在编实有行政人员12人（含行政工勤人员2人），事业人员31人（含参公管理事业人员0人）。</w:t>
      </w:r>
    </w:p>
    <w:p>
      <w:pPr>
        <w:pStyle w:val="2"/>
        <w:keepNext w:val="0"/>
        <w:keepLines w:val="0"/>
        <w:widowControl/>
        <w:suppressLineNumbers w:val="0"/>
        <w:spacing w:before="0" w:beforeAutospacing="0" w:after="200" w:afterAutospacing="0" w:line="600" w:lineRule="atLeast"/>
        <w:ind w:left="0" w:firstLine="600"/>
        <w:jc w:val="both"/>
      </w:pPr>
      <w:r>
        <w:rPr>
          <w:rFonts w:hint="default" w:ascii="仿宋_GB2312" w:eastAsia="仿宋_GB2312" w:cs="仿宋_GB2312"/>
          <w:sz w:val="30"/>
          <w:szCs w:val="30"/>
        </w:rPr>
        <w:t>离退休人员20人。其中：离休0人，退休20人。</w:t>
      </w:r>
    </w:p>
    <w:p>
      <w:pPr>
        <w:pStyle w:val="2"/>
        <w:keepNext w:val="0"/>
        <w:keepLines w:val="0"/>
        <w:widowControl/>
        <w:suppressLineNumbers w:val="0"/>
        <w:spacing w:before="0" w:beforeAutospacing="0" w:after="200" w:afterAutospacing="0" w:line="600" w:lineRule="atLeast"/>
        <w:ind w:left="0" w:firstLine="600"/>
        <w:jc w:val="both"/>
      </w:pPr>
      <w:r>
        <w:rPr>
          <w:rFonts w:hint="default" w:ascii="仿宋_GB2312" w:eastAsia="仿宋_GB2312" w:cs="仿宋_GB2312"/>
          <w:sz w:val="30"/>
          <w:szCs w:val="30"/>
        </w:rPr>
        <w:t>实有车辆编制1辆，在编实有车辆2辆。</w:t>
      </w:r>
    </w:p>
    <w:p>
      <w:pPr>
        <w:pStyle w:val="2"/>
        <w:keepNext w:val="0"/>
        <w:keepLines w:val="0"/>
        <w:widowControl/>
        <w:suppressLineNumbers w:val="0"/>
        <w:spacing w:before="0" w:beforeAutospacing="0" w:after="200" w:afterAutospacing="0" w:line="600" w:lineRule="atLeast"/>
        <w:ind w:left="0" w:firstLine="600"/>
        <w:jc w:val="both"/>
      </w:pPr>
      <w:r>
        <w:rPr>
          <w:rFonts w:hint="default" w:ascii="仿宋_GB2312" w:eastAsia="仿宋_GB2312" w:cs="仿宋_GB2312"/>
          <w:sz w:val="30"/>
          <w:szCs w:val="30"/>
        </w:rPr>
        <w:t>（各部门可结合实际制作基本情况分布图表等）</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第二部分2019年度部门决算表</w:t>
      </w:r>
    </w:p>
    <w:p>
      <w:pPr>
        <w:pStyle w:val="2"/>
        <w:keepNext w:val="0"/>
        <w:keepLines w:val="0"/>
        <w:widowControl/>
        <w:suppressLineNumbers w:val="0"/>
        <w:spacing w:before="0" w:beforeAutospacing="0" w:after="200" w:afterAutospacing="0" w:line="600" w:lineRule="atLeast"/>
        <w:ind w:left="0" w:firstLine="600"/>
        <w:jc w:val="center"/>
      </w:pPr>
      <w:r>
        <w:rPr>
          <w:rFonts w:hint="default" w:ascii="仿宋_GB2312" w:eastAsia="仿宋_GB2312" w:cs="仿宋_GB2312"/>
          <w:sz w:val="30"/>
          <w:szCs w:val="30"/>
        </w:rPr>
        <w:t>（详见附件）</w:t>
      </w:r>
    </w:p>
    <w:p>
      <w:pPr>
        <w:pStyle w:val="2"/>
        <w:keepNext w:val="0"/>
        <w:keepLines w:val="0"/>
        <w:widowControl/>
        <w:suppressLineNumbers w:val="0"/>
        <w:spacing w:before="0" w:beforeAutospacing="0" w:after="200" w:afterAutospacing="0" w:line="600" w:lineRule="atLeast"/>
        <w:ind w:left="0" w:firstLine="600"/>
        <w:jc w:val="center"/>
      </w:pPr>
      <w:r>
        <w:rPr>
          <w:rFonts w:hint="default" w:ascii="仿宋_GB2312" w:eastAsia="仿宋_GB2312" w:cs="仿宋_GB2312"/>
          <w:sz w:val="30"/>
          <w:szCs w:val="30"/>
        </w:rPr>
        <w:t> </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第三部分  2019年度部门决算情况说明</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eastAsia" w:ascii="黑体" w:hAnsi="宋体" w:eastAsia="黑体" w:cs="黑体"/>
          <w:sz w:val="30"/>
          <w:szCs w:val="30"/>
        </w:rPr>
        <w:t>一、收入决算情况说明</w:t>
      </w:r>
    </w:p>
    <w:p>
      <w:pPr>
        <w:pStyle w:val="2"/>
        <w:keepNext w:val="0"/>
        <w:keepLines w:val="0"/>
        <w:widowControl/>
        <w:suppressLineNumbers w:val="0"/>
        <w:spacing w:before="100" w:beforeAutospacing="0" w:after="100" w:afterAutospacing="0" w:line="600" w:lineRule="atLeast"/>
        <w:ind w:left="0" w:firstLine="538"/>
      </w:pPr>
      <w:r>
        <w:rPr>
          <w:rFonts w:hint="default" w:ascii="仿宋_GB2312" w:eastAsia="仿宋_GB2312" w:cs="仿宋_GB2312"/>
          <w:sz w:val="30"/>
          <w:szCs w:val="30"/>
        </w:rPr>
        <w:t>德钦县教育体育局2019年度收入合计6992.61万元。其中：财政拨款收入6992.61万元，占总收入的100%；上级补助收入0万元，占总收入的0%；事业收入0万元（含教育收费0万元），占总收入的0%；经营收入0万元，占总收入的0%；附属单位缴款收入0万元，占总收入的0%；其他收入0万元，占总收入的0%。与上年对比有所减少，主要原因为机构改革，人员增加。</w:t>
      </w:r>
    </w:p>
    <w:p>
      <w:pPr>
        <w:pStyle w:val="2"/>
        <w:keepNext w:val="0"/>
        <w:keepLines w:val="0"/>
        <w:widowControl/>
        <w:suppressLineNumbers w:val="0"/>
        <w:spacing w:before="100" w:beforeAutospacing="0" w:after="100" w:afterAutospacing="0" w:line="600" w:lineRule="atLeast"/>
        <w:ind w:left="0" w:firstLine="538"/>
      </w:pPr>
      <w:r>
        <w:rPr>
          <w:rFonts w:hint="default" w:ascii="仿宋_GB2312" w:eastAsia="仿宋_GB2312" w:cs="仿宋_GB2312"/>
          <w:sz w:val="30"/>
          <w:szCs w:val="30"/>
        </w:rPr>
        <w:t>（各部门可结合实际制作收入占比分布图表）</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eastAsia" w:ascii="黑体" w:hAnsi="宋体" w:eastAsia="黑体" w:cs="黑体"/>
          <w:sz w:val="30"/>
          <w:szCs w:val="30"/>
        </w:rPr>
        <w:t>二、支出决算情况说明</w:t>
      </w:r>
    </w:p>
    <w:p>
      <w:pPr>
        <w:pStyle w:val="2"/>
        <w:keepNext w:val="0"/>
        <w:keepLines w:val="0"/>
        <w:widowControl/>
        <w:suppressLineNumbers w:val="0"/>
        <w:spacing w:before="0" w:beforeAutospacing="0" w:after="200" w:afterAutospacing="0" w:line="600" w:lineRule="atLeast"/>
        <w:ind w:left="0" w:firstLine="600"/>
        <w:jc w:val="both"/>
      </w:pPr>
      <w:r>
        <w:rPr>
          <w:rFonts w:hint="default" w:ascii="仿宋_GB2312" w:eastAsia="仿宋_GB2312" w:cs="仿宋_GB2312"/>
          <w:sz w:val="30"/>
          <w:szCs w:val="30"/>
        </w:rPr>
        <w:t>德钦县教育体育局2019年度支出合计7261.29万元。其中：基本支出1253.96万元，占总支出的17.27％；项目支出6007.32万元，占总支出的82.73％；上缴上级支出、经营支出、对附属单位补助支出共0万元，占总支出的0％。与上年对比有所减少,主要原因为机构改革，人员增加。</w:t>
      </w:r>
    </w:p>
    <w:p>
      <w:pPr>
        <w:pStyle w:val="2"/>
        <w:keepNext w:val="0"/>
        <w:keepLines w:val="0"/>
        <w:widowControl/>
        <w:suppressLineNumbers w:val="0"/>
        <w:spacing w:before="0" w:beforeAutospacing="0" w:after="200" w:afterAutospacing="0" w:line="600" w:lineRule="atLeast"/>
        <w:ind w:left="0" w:firstLine="600"/>
        <w:jc w:val="both"/>
      </w:pPr>
      <w:r>
        <w:rPr>
          <w:rFonts w:hint="default" w:ascii="仿宋_GB2312" w:eastAsia="仿宋_GB2312" w:cs="仿宋_GB2312"/>
          <w:sz w:val="30"/>
          <w:szCs w:val="30"/>
        </w:rPr>
        <w:t>（各部门可结合实际制作支出占比分布图表）</w:t>
      </w:r>
    </w:p>
    <w:p>
      <w:pPr>
        <w:pStyle w:val="2"/>
        <w:keepNext w:val="0"/>
        <w:keepLines w:val="0"/>
        <w:widowControl/>
        <w:suppressLineNumbers w:val="0"/>
        <w:spacing w:before="100" w:beforeAutospacing="0" w:after="100" w:afterAutospacing="0" w:line="600" w:lineRule="atLeast"/>
        <w:ind w:left="0" w:firstLine="600"/>
      </w:pPr>
      <w:r>
        <w:rPr>
          <w:rFonts w:hint="eastAsia" w:ascii="楷体" w:hAnsi="楷体" w:eastAsia="楷体" w:cs="楷体"/>
          <w:sz w:val="30"/>
          <w:szCs w:val="30"/>
        </w:rPr>
        <w:t>（一）基本支出情况</w:t>
      </w:r>
    </w:p>
    <w:p>
      <w:pPr>
        <w:pStyle w:val="2"/>
        <w:keepNext w:val="0"/>
        <w:keepLines w:val="0"/>
        <w:widowControl/>
        <w:suppressLineNumbers w:val="0"/>
        <w:spacing w:before="100" w:beforeAutospacing="0" w:after="100" w:afterAutospacing="0" w:line="600" w:lineRule="atLeast"/>
        <w:ind w:left="0" w:firstLine="600"/>
      </w:pPr>
      <w:r>
        <w:rPr>
          <w:rFonts w:hint="default" w:ascii="仿宋_GB2312" w:eastAsia="仿宋_GB2312" w:cs="仿宋_GB2312"/>
          <w:sz w:val="30"/>
          <w:szCs w:val="30"/>
        </w:rPr>
        <w:t>2019年度用于保障教育体育局机关、下属事业单位等机构正常运转的日常支出1253.96万元。与上年对比有所减少,主要原因为机构改革，人员增加。包括基本工资、津贴补贴等人员经费支出占基本支出的81.38％；办公费、印刷费、水电费、办公设备购置等日常公用经费占基本支出的12.48％。（人均情况由各部门自行确定）</w:t>
      </w:r>
    </w:p>
    <w:p>
      <w:pPr>
        <w:pStyle w:val="2"/>
        <w:keepNext w:val="0"/>
        <w:keepLines w:val="0"/>
        <w:widowControl/>
        <w:suppressLineNumbers w:val="0"/>
        <w:spacing w:before="100" w:beforeAutospacing="0" w:after="100" w:afterAutospacing="0" w:line="600" w:lineRule="atLeast"/>
        <w:ind w:left="0" w:firstLine="538"/>
      </w:pPr>
      <w:r>
        <w:rPr>
          <w:rFonts w:hint="default" w:ascii="仿宋_GB2312" w:eastAsia="仿宋_GB2312" w:cs="仿宋_GB2312"/>
          <w:sz w:val="30"/>
          <w:szCs w:val="30"/>
        </w:rPr>
        <w:t>（各部门可结合实际制作支出分布图表等）</w:t>
      </w:r>
    </w:p>
    <w:p>
      <w:pPr>
        <w:pStyle w:val="2"/>
        <w:keepNext w:val="0"/>
        <w:keepLines w:val="0"/>
        <w:widowControl/>
        <w:suppressLineNumbers w:val="0"/>
        <w:spacing w:before="100" w:beforeAutospacing="0" w:after="100" w:afterAutospacing="0" w:line="600" w:lineRule="atLeast"/>
        <w:ind w:left="0" w:firstLine="600"/>
      </w:pPr>
      <w:r>
        <w:rPr>
          <w:rFonts w:hint="eastAsia" w:ascii="楷体" w:hAnsi="楷体" w:eastAsia="楷体" w:cs="楷体"/>
          <w:sz w:val="30"/>
          <w:szCs w:val="30"/>
        </w:rPr>
        <w:t>（二）项目支出情况</w:t>
      </w:r>
    </w:p>
    <w:p>
      <w:pPr>
        <w:pStyle w:val="2"/>
        <w:keepNext w:val="0"/>
        <w:keepLines w:val="0"/>
        <w:widowControl/>
        <w:suppressLineNumbers w:val="0"/>
        <w:spacing w:before="100" w:beforeAutospacing="0" w:after="100" w:afterAutospacing="0" w:line="600" w:lineRule="atLeast"/>
        <w:ind w:left="0" w:firstLine="600"/>
      </w:pPr>
      <w:r>
        <w:rPr>
          <w:rFonts w:hint="default" w:ascii="仿宋_GB2312" w:eastAsia="仿宋_GB2312" w:cs="仿宋_GB2312"/>
          <w:sz w:val="30"/>
          <w:szCs w:val="30"/>
        </w:rPr>
        <w:t>2019年度用于保障教育体育局机构、下属事业单位等机构为完成特定的行政工作任务或事业发展目标，用于专项业务工作的经费支出6007.32万元。与上年对比有所增长,主要原因开展三区三州教育脱贫攻坚项目，完善义务教育阶段、学前教育阶段及职业技术教育、教师进修学校的设施设备，总投入资金4186.28万元</w:t>
      </w:r>
    </w:p>
    <w:p>
      <w:pPr>
        <w:pStyle w:val="2"/>
        <w:keepNext w:val="0"/>
        <w:keepLines w:val="0"/>
        <w:widowControl/>
        <w:suppressLineNumbers w:val="0"/>
        <w:spacing w:before="100" w:beforeAutospacing="0" w:after="100" w:afterAutospacing="0" w:line="600" w:lineRule="atLeast"/>
        <w:ind w:left="0" w:firstLine="600"/>
      </w:pPr>
      <w:r>
        <w:rPr>
          <w:rFonts w:hint="default" w:ascii="仿宋_GB2312" w:eastAsia="仿宋_GB2312" w:cs="仿宋_GB2312"/>
          <w:sz w:val="30"/>
          <w:szCs w:val="30"/>
        </w:rPr>
        <w:t>（各部门可结合实际制作支出分布图表等）</w:t>
      </w:r>
    </w:p>
    <w:p>
      <w:pPr>
        <w:pStyle w:val="2"/>
        <w:keepNext w:val="0"/>
        <w:keepLines w:val="0"/>
        <w:widowControl/>
        <w:suppressLineNumbers w:val="0"/>
        <w:spacing w:before="100" w:beforeAutospacing="0" w:after="100" w:afterAutospacing="0" w:line="600" w:lineRule="atLeast"/>
        <w:ind w:left="0" w:firstLine="600"/>
      </w:pPr>
      <w:r>
        <w:rPr>
          <w:rFonts w:hint="eastAsia" w:ascii="黑体" w:hAnsi="宋体" w:eastAsia="黑体" w:cs="黑体"/>
          <w:sz w:val="30"/>
          <w:szCs w:val="30"/>
        </w:rPr>
        <w:t>三、一般公共预算财政拨款支出决算情况说明</w:t>
      </w:r>
    </w:p>
    <w:p>
      <w:pPr>
        <w:pStyle w:val="2"/>
        <w:keepNext w:val="0"/>
        <w:keepLines w:val="0"/>
        <w:widowControl/>
        <w:suppressLineNumbers w:val="0"/>
        <w:spacing w:before="100" w:beforeAutospacing="0" w:after="100" w:afterAutospacing="0" w:line="600" w:lineRule="atLeast"/>
        <w:ind w:left="0" w:firstLine="600"/>
      </w:pPr>
      <w:r>
        <w:rPr>
          <w:rFonts w:hint="eastAsia" w:ascii="楷体" w:hAnsi="楷体" w:eastAsia="楷体" w:cs="楷体"/>
          <w:sz w:val="30"/>
          <w:szCs w:val="30"/>
        </w:rPr>
        <w:t>（一）一般公共预算财政拨款支出决算总体情况</w:t>
      </w:r>
    </w:p>
    <w:p>
      <w:pPr>
        <w:pStyle w:val="2"/>
        <w:keepNext w:val="0"/>
        <w:keepLines w:val="0"/>
        <w:widowControl/>
        <w:suppressLineNumbers w:val="0"/>
        <w:spacing w:before="100" w:beforeAutospacing="0" w:after="100" w:afterAutospacing="0" w:line="600" w:lineRule="atLeast"/>
        <w:ind w:left="0" w:firstLine="600"/>
      </w:pPr>
      <w:r>
        <w:rPr>
          <w:rFonts w:hint="default" w:ascii="仿宋_GB2312" w:eastAsia="仿宋_GB2312" w:cs="仿宋_GB2312"/>
          <w:sz w:val="30"/>
          <w:szCs w:val="30"/>
        </w:rPr>
        <w:t>德钦县教育体育局2019年度一般公共预算财政拨款支出7261.28万元,占本年支出合计的100%。与上年对比有所增长,主要原因为机构改革，人员增加。</w:t>
      </w:r>
    </w:p>
    <w:p>
      <w:pPr>
        <w:pStyle w:val="2"/>
        <w:keepNext w:val="0"/>
        <w:keepLines w:val="0"/>
        <w:widowControl/>
        <w:suppressLineNumbers w:val="0"/>
        <w:spacing w:before="100" w:beforeAutospacing="0" w:after="100" w:afterAutospacing="0" w:line="600" w:lineRule="atLeast"/>
        <w:ind w:left="0" w:firstLine="600"/>
      </w:pPr>
      <w:r>
        <w:rPr>
          <w:rFonts w:hint="eastAsia" w:ascii="楷体" w:hAnsi="楷体" w:eastAsia="楷体" w:cs="楷体"/>
          <w:sz w:val="30"/>
          <w:szCs w:val="30"/>
        </w:rPr>
        <w:t>（二）一般公共预算财政拨款支出决算具体情况</w:t>
      </w:r>
      <w:r>
        <w:t>   </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1.一般公共服务（类）支出0万元，占一般公共预算财政拨款总支出的0%。</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2.外交（类）支出0万元，占一般公共预算财政拨款总支出的0%。</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3.国防（类）支出0万元，占一般公共预算财政拨款总支出的0%。</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4.公共安全（类）支出0万元，占一般公共预算财政拨款总支出的0%。</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5.教育支出6529.43万元，占一般公共预算财政拨款总支出的89.92%。</w:t>
      </w:r>
    </w:p>
    <w:p>
      <w:pPr>
        <w:pStyle w:val="2"/>
        <w:keepNext w:val="0"/>
        <w:keepLines w:val="0"/>
        <w:widowControl/>
        <w:suppressLineNumbers w:val="0"/>
        <w:spacing w:before="100" w:beforeAutospacing="0" w:after="100" w:afterAutospacing="0" w:line="360" w:lineRule="auto"/>
        <w:ind w:left="596"/>
        <w:rPr>
          <w:sz w:val="30"/>
          <w:szCs w:val="30"/>
        </w:rPr>
      </w:pPr>
      <w:r>
        <w:rPr>
          <w:rFonts w:hint="default" w:ascii="仿宋_GB2312" w:eastAsia="仿宋_GB2312" w:cs="仿宋_GB2312"/>
          <w:sz w:val="30"/>
          <w:szCs w:val="30"/>
        </w:rPr>
        <w:t>6.科学技术支出0万元，占一般公共预算财政拨款总支出的0%。7.文化旅游体育与传媒支出23.58万元，占一般公共预算财政拨款总支出的0.32%。主要用于文化旅游体育与传媒支出；</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8.社会保障和就业支出109.26万元，占一般公共预算财政拨款总支出的1.5%。主要用于社会保障和就业支出；</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9.卫生健康支出67.52万元，占一般公共预算财政拨款总支出的0.93%。主要用于卫生健康支出；</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10.节能环保支出0万元，占一般公共预算财政拨款总支出的0%。</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11.农林水支出270.32万元，占一般公共预算财政拨款总支出的3.72%。主要用于农林水支出；</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12.住房保障支出64.48万元，占一般公共预算财政拨款总支出的0.89%。主要用于住房保障支出；</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13.灾害防治及应急管理支出40万元，占一般公共预算财政拨款总支出的0.56%。主要用于灾害防治及应急管理支出；</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14.其他支出156.69万元，占一般公共预算财政拨款总支出的2.16%。主要用于其他支出；</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（说明可细化到项级科目，同时各部门可结合实际制作支出占比分布图表等）</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eastAsia" w:ascii="黑体" w:hAnsi="宋体" w:eastAsia="黑体" w:cs="黑体"/>
          <w:sz w:val="30"/>
          <w:szCs w:val="30"/>
        </w:rPr>
        <w:t>四、一般公共预算财政拨款“三公”经费支出决算情况说明</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eastAsia" w:ascii="楷体" w:hAnsi="楷体" w:eastAsia="楷体" w:cs="楷体"/>
          <w:sz w:val="30"/>
          <w:szCs w:val="30"/>
        </w:rPr>
        <w:t>(一)</w:t>
      </w:r>
      <w:r>
        <w:rPr>
          <w:rFonts w:hint="eastAsia" w:ascii="黑体" w:hAnsi="宋体" w:eastAsia="黑体" w:cs="黑体"/>
          <w:sz w:val="30"/>
          <w:szCs w:val="30"/>
        </w:rPr>
        <w:t xml:space="preserve"> </w:t>
      </w:r>
      <w:r>
        <w:rPr>
          <w:rFonts w:hint="eastAsia" w:ascii="楷体" w:hAnsi="楷体" w:eastAsia="楷体" w:cs="楷体"/>
          <w:sz w:val="30"/>
          <w:szCs w:val="30"/>
        </w:rPr>
        <w:t>一般公共预算财政拨款“三公”经费支出决算总体情况</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德钦县教育体育局2019年度一般公共预算财政拨款“三公”经费支出预算为22.93万元，支出决算为22.93万元，完成预算的100%。其中：因公出国（境）费支出决算为0万元，完成预算的100%；公务用车购置及运行费支出决算为5.32万元，完成预算的100%；公务接待费支出决算为17.62万元，完成预算的100%。2019年度一般公共预算财政拨款“三公”经费支出决算数等于预算数的主要原因为2019年三公经费支出等于预算执行数。</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2019年度一般公共预算财政拨款“三公”经费支出决算数比2018年增加8.33万元，增长36.33%。其中：因公出国（境）费支出决算增加/减少0万元，增长/下降0%；公务用车购置及运行费支出决算减少2.96万元，下降35.75%；公务接待费支出决算增加11.29万元，增长64.07%。2019年度一般公共预算财政拨款“三公”经费支出决算增加的主要原因公务接待费支出增加。</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eastAsia" w:ascii="楷体" w:hAnsi="楷体" w:eastAsia="楷体" w:cs="楷体"/>
          <w:sz w:val="30"/>
          <w:szCs w:val="30"/>
        </w:rPr>
        <w:t>(二)</w:t>
      </w:r>
      <w:r>
        <w:rPr>
          <w:rFonts w:hint="default" w:ascii="仿宋_GB2312" w:eastAsia="仿宋_GB2312" w:cs="仿宋_GB2312"/>
          <w:sz w:val="30"/>
          <w:szCs w:val="30"/>
        </w:rPr>
        <w:t xml:space="preserve"> </w:t>
      </w:r>
      <w:r>
        <w:rPr>
          <w:rFonts w:hint="eastAsia" w:ascii="楷体" w:hAnsi="楷体" w:eastAsia="楷体" w:cs="楷体"/>
          <w:sz w:val="30"/>
          <w:szCs w:val="30"/>
        </w:rPr>
        <w:t>一般公共预算财政拨款“三公”经费支出决算具体情况</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2019年度一般公共预算财政拨款“三公”经费支出决算中，因公出国（境）费支出0万元，占0%；公务用车购置及运行维护费支出5.32万元，占23.2%；公务接待费支出17.62万元，占76.8%。具体情况如下：</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b/>
          <w:sz w:val="30"/>
          <w:szCs w:val="30"/>
        </w:rPr>
        <w:t>1.因公出国（境）费</w:t>
      </w:r>
      <w:r>
        <w:rPr>
          <w:rFonts w:hint="default" w:ascii="仿宋_GB2312" w:eastAsia="仿宋_GB2312" w:cs="仿宋_GB2312"/>
          <w:sz w:val="30"/>
          <w:szCs w:val="30"/>
        </w:rPr>
        <w:t>支出0万元，共安排因公出国（境）团组0个，累计0人次。开展内容包括：具体出国开支及开展工作情况无。</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b/>
          <w:sz w:val="30"/>
          <w:szCs w:val="30"/>
        </w:rPr>
        <w:t>2. 公务用车购置及运行维护费</w:t>
      </w:r>
      <w:r>
        <w:rPr>
          <w:rFonts w:hint="default" w:ascii="仿宋_GB2312" w:eastAsia="仿宋_GB2312" w:cs="仿宋_GB2312"/>
          <w:sz w:val="30"/>
          <w:szCs w:val="30"/>
        </w:rPr>
        <w:t>支出5.32万元。其中：</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b/>
          <w:sz w:val="30"/>
          <w:szCs w:val="30"/>
        </w:rPr>
        <w:t>公务用车购置</w:t>
      </w:r>
      <w:r>
        <w:rPr>
          <w:rFonts w:hint="default" w:ascii="仿宋_GB2312" w:eastAsia="仿宋_GB2312" w:cs="仿宋_GB2312"/>
          <w:sz w:val="30"/>
          <w:szCs w:val="30"/>
        </w:rPr>
        <w:t>支出0万元，购置车辆0辆。具体购置车辆原因无。</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b/>
          <w:sz w:val="30"/>
          <w:szCs w:val="30"/>
        </w:rPr>
        <w:t>公务用车运行维护</w:t>
      </w:r>
      <w:r>
        <w:rPr>
          <w:rFonts w:hint="default" w:ascii="仿宋_GB2312" w:eastAsia="仿宋_GB2312" w:cs="仿宋_GB2312"/>
          <w:sz w:val="30"/>
          <w:szCs w:val="30"/>
        </w:rPr>
        <w:t>支出5.32万元，开支一般公共预算财政拨款的公务用车保有量为2辆。主要用于公务出差所需车辆燃料费、维修费、过路过桥费、保险费等。</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b/>
          <w:sz w:val="30"/>
          <w:szCs w:val="30"/>
        </w:rPr>
        <w:t>3.公务接待费</w:t>
      </w:r>
      <w:r>
        <w:rPr>
          <w:rFonts w:hint="default" w:ascii="仿宋_GB2312" w:eastAsia="仿宋_GB2312" w:cs="仿宋_GB2312"/>
          <w:sz w:val="30"/>
          <w:szCs w:val="30"/>
        </w:rPr>
        <w:t>支出17.62万元。其中：</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b/>
          <w:sz w:val="30"/>
          <w:szCs w:val="30"/>
        </w:rPr>
        <w:t>国内接待费</w:t>
      </w:r>
      <w:r>
        <w:rPr>
          <w:rFonts w:hint="default" w:ascii="仿宋_GB2312" w:eastAsia="仿宋_GB2312" w:cs="仿宋_GB2312"/>
          <w:sz w:val="30"/>
          <w:szCs w:val="30"/>
        </w:rPr>
        <w:t>支出17.62万元（其中：外事接待费支出0万元），共安排国内公务接待35批次（其中：外事接待0批次），接待人次600人（其中：外事接待人次0人）。主要用于公务接待发生的接待支出。</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b/>
          <w:sz w:val="30"/>
          <w:szCs w:val="30"/>
        </w:rPr>
        <w:t>国（境）外接待费</w:t>
      </w:r>
      <w:r>
        <w:rPr>
          <w:rFonts w:hint="default" w:ascii="仿宋_GB2312" w:eastAsia="仿宋_GB2312" w:cs="仿宋_GB2312"/>
          <w:sz w:val="30"/>
          <w:szCs w:val="30"/>
        </w:rPr>
        <w:t>支出0万元，共安排国（境）外公务接待0批次，接待人次0人。</w:t>
      </w:r>
    </w:p>
    <w:p>
      <w:pPr>
        <w:pStyle w:val="2"/>
        <w:keepNext w:val="0"/>
        <w:keepLines w:val="0"/>
        <w:widowControl/>
        <w:suppressLineNumbers w:val="0"/>
        <w:spacing w:before="100" w:beforeAutospacing="0" w:after="100" w:afterAutospacing="0" w:line="360" w:lineRule="auto"/>
        <w:ind w:left="0" w:firstLine="640"/>
        <w:rPr>
          <w:sz w:val="32"/>
          <w:szCs w:val="32"/>
        </w:rPr>
      </w:pPr>
      <w:r>
        <w:rPr>
          <w:rFonts w:hint="eastAsia" w:ascii="黑体" w:hAnsi="宋体" w:eastAsia="黑体" w:cs="黑体"/>
          <w:sz w:val="32"/>
          <w:szCs w:val="32"/>
        </w:rPr>
        <w:t>第四部分  其他重要事项及相关口径情况说明</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eastAsia" w:ascii="黑体" w:hAnsi="宋体" w:eastAsia="黑体" w:cs="黑体"/>
          <w:sz w:val="30"/>
          <w:szCs w:val="30"/>
        </w:rPr>
        <w:t>一、机关运行经费支出情况</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default" w:ascii="仿宋_GB2312" w:eastAsia="仿宋_GB2312" w:cs="仿宋_GB2312"/>
          <w:sz w:val="30"/>
          <w:szCs w:val="30"/>
        </w:rPr>
        <w:t>德钦县教育体育局2019年机关运行经费支出156.53万元，与上年对比增加128.06,主要原因分析机构改革，人员增加。部门机关运行经费主要用于机关运行经费支出。</w:t>
      </w:r>
    </w:p>
    <w:p>
      <w:pPr>
        <w:pStyle w:val="2"/>
        <w:keepNext w:val="0"/>
        <w:keepLines w:val="0"/>
        <w:widowControl/>
        <w:suppressLineNumbers w:val="0"/>
        <w:spacing w:before="0" w:beforeAutospacing="0" w:after="200" w:afterAutospacing="0" w:line="276" w:lineRule="auto"/>
        <w:ind w:left="0" w:firstLine="600"/>
        <w:jc w:val="both"/>
        <w:rPr>
          <w:sz w:val="30"/>
          <w:szCs w:val="30"/>
        </w:rPr>
      </w:pPr>
      <w:r>
        <w:rPr>
          <w:rFonts w:hint="eastAsia" w:ascii="黑体" w:hAnsi="宋体" w:eastAsia="黑体" w:cs="黑体"/>
          <w:sz w:val="30"/>
          <w:szCs w:val="30"/>
        </w:rPr>
        <w:t>二、国有资产占用情况</w:t>
      </w:r>
    </w:p>
    <w:p>
      <w:pPr>
        <w:pStyle w:val="2"/>
        <w:keepNext w:val="0"/>
        <w:keepLines w:val="0"/>
        <w:widowControl/>
        <w:suppressLineNumbers w:val="0"/>
        <w:spacing w:before="0" w:beforeAutospacing="0" w:after="200" w:afterAutospacing="0" w:line="276" w:lineRule="auto"/>
        <w:ind w:left="0" w:firstLine="600"/>
        <w:jc w:val="both"/>
        <w:rPr>
          <w:sz w:val="30"/>
          <w:szCs w:val="30"/>
        </w:rPr>
      </w:pPr>
      <w:r>
        <w:rPr>
          <w:rFonts w:hint="default" w:ascii="仿宋_GB2312" w:eastAsia="仿宋_GB2312" w:cs="仿宋_GB2312"/>
          <w:sz w:val="30"/>
          <w:szCs w:val="30"/>
        </w:rPr>
        <w:t>截至2019年12月31日，德钦县教育体育局资产总额13289.84万元，其中，流动资产2716.57万元，固定资产4573.08万元，对外投资及有价证券0万元，在建工程5999.86万元，无形资产0.33万元，其他资产0万元（具体内容详见附表）。与上年相比，本年资产总额增加4247.54万元，其中固定资产增加4470.11万元。处置房屋建筑物0平方米，账面原值0万元；处置车辆0辆，账面原值0万元；报废报损资产0项，账面原值0万元，实现资产处置收入0万元；出租房屋0平方米，账面原值0万元，实现资产使用收入0万元。</w:t>
      </w:r>
    </w:p>
    <w:tbl>
      <w:tblPr>
        <w:tblW w:w="1077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43"/>
        <w:gridCol w:w="433"/>
        <w:gridCol w:w="1016"/>
        <w:gridCol w:w="916"/>
        <w:gridCol w:w="916"/>
        <w:gridCol w:w="916"/>
        <w:gridCol w:w="751"/>
        <w:gridCol w:w="46"/>
        <w:gridCol w:w="647"/>
        <w:gridCol w:w="254"/>
        <w:gridCol w:w="623"/>
        <w:gridCol w:w="230"/>
        <w:gridCol w:w="721"/>
        <w:gridCol w:w="957"/>
        <w:gridCol w:w="360"/>
        <w:gridCol w:w="494"/>
        <w:gridCol w:w="264"/>
        <w:gridCol w:w="170"/>
        <w:gridCol w:w="335"/>
        <w:gridCol w:w="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95" w:hRule="atLeast"/>
        </w:trPr>
        <w:tc>
          <w:tcPr>
            <w:tcW w:w="10592" w:type="dxa"/>
            <w:gridSpan w:val="19"/>
            <w:shd w:val="clear" w:color="auto" w:fill="FFFFFF"/>
            <w:tcMar>
              <w:top w:w="15" w:type="dxa"/>
              <w:left w:w="15" w:type="dxa"/>
              <w:bottom w:w="15" w:type="dxa"/>
              <w:right w:w="15" w:type="dxa"/>
            </w:tcMar>
            <w:vAlign w:val="center"/>
          </w:tcPr>
          <w:p>
            <w:pPr>
              <w:pStyle w:val="2"/>
              <w:keepNext w:val="0"/>
              <w:keepLines w:val="0"/>
              <w:widowControl/>
              <w:suppressLineNumbers w:val="0"/>
              <w:spacing w:before="0" w:beforeAutospacing="0" w:after="200" w:afterAutospacing="0" w:line="276" w:lineRule="auto"/>
              <w:jc w:val="center"/>
              <w:rPr>
                <w:sz w:val="30"/>
                <w:szCs w:val="30"/>
              </w:rPr>
            </w:pPr>
            <w:r>
              <w:rPr>
                <w:rFonts w:hint="default" w:ascii="仿宋_GB2312" w:eastAsia="仿宋_GB2312" w:cs="仿宋_GB2312"/>
                <w:b/>
                <w:sz w:val="30"/>
                <w:szCs w:val="30"/>
                <w:bdr w:val="none" w:color="auto" w:sz="0" w:space="0"/>
              </w:rPr>
              <w:t>国有资产占有使用情况表</w:t>
            </w:r>
          </w:p>
        </w:tc>
        <w:tc>
          <w:tcPr>
            <w:tcW w:w="178" w:type="dxa"/>
            <w:shd w:val="clear"/>
            <w:vAlign w:val="center"/>
          </w:tcPr>
          <w:p>
            <w:pPr>
              <w:pStyle w:val="2"/>
              <w:keepNext w:val="0"/>
              <w:keepLines w:val="0"/>
              <w:widowControl/>
              <w:suppressLineNumbers w:val="0"/>
              <w:spacing w:before="0" w:beforeAutospacing="0" w:after="200" w:afterAutospacing="0" w:line="276" w:lineRule="auto"/>
              <w:rPr>
                <w:sz w:val="17"/>
                <w:szCs w:val="17"/>
              </w:rPr>
            </w:pPr>
            <w:r>
              <w:rPr>
                <w:rFonts w:hint="eastAsia" w:ascii="宋体" w:hAnsi="宋体" w:eastAsia="宋体" w:cs="宋体"/>
                <w:sz w:val="17"/>
                <w:szCs w:val="17"/>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47" w:hRule="atLeast"/>
        </w:trPr>
        <w:tc>
          <w:tcPr>
            <w:tcW w:w="5537" w:type="dxa"/>
            <w:gridSpan w:val="8"/>
            <w:tcBorders>
              <w:bottom w:val="single" w:color="808080" w:sz="6" w:space="0"/>
            </w:tcBorders>
            <w:shd w:val="clear" w:color="auto" w:fill="FFFFFF"/>
            <w:tcMar>
              <w:top w:w="15" w:type="dxa"/>
              <w:left w:w="15" w:type="dxa"/>
              <w:bottom w:w="8" w:type="dxa"/>
              <w:right w:w="15" w:type="dxa"/>
            </w:tcMar>
            <w:vAlign w:val="center"/>
          </w:tcPr>
          <w:p>
            <w:pPr>
              <w:pStyle w:val="2"/>
              <w:keepNext w:val="0"/>
              <w:keepLines w:val="0"/>
              <w:widowControl/>
              <w:suppressLineNumbers w:val="0"/>
              <w:spacing w:before="0" w:beforeAutospacing="0" w:after="200" w:afterAutospacing="0" w:line="276" w:lineRule="auto"/>
              <w:rPr>
                <w:sz w:val="20"/>
                <w:szCs w:val="20"/>
              </w:rPr>
            </w:pPr>
            <w:r>
              <w:rPr>
                <w:rFonts w:hint="eastAsia" w:ascii="宋体" w:hAnsi="宋体" w:eastAsia="宋体" w:cs="宋体"/>
                <w:sz w:val="20"/>
                <w:szCs w:val="20"/>
                <w:bdr w:val="none" w:color="auto" w:sz="0" w:space="0"/>
              </w:rPr>
              <w:t> </w:t>
            </w:r>
          </w:p>
        </w:tc>
        <w:tc>
          <w:tcPr>
            <w:tcW w:w="647" w:type="dxa"/>
            <w:tcBorders>
              <w:bottom w:val="single" w:color="808080" w:sz="6" w:space="0"/>
            </w:tcBorders>
            <w:shd w:val="clear" w:color="auto" w:fill="FFFFFF"/>
            <w:tcMar>
              <w:top w:w="15" w:type="dxa"/>
              <w:left w:w="15" w:type="dxa"/>
              <w:bottom w:w="8" w:type="dxa"/>
              <w:right w:w="15" w:type="dxa"/>
            </w:tcMar>
            <w:vAlign w:val="center"/>
          </w:tcPr>
          <w:p>
            <w:pPr>
              <w:pStyle w:val="2"/>
              <w:keepNext w:val="0"/>
              <w:keepLines w:val="0"/>
              <w:widowControl/>
              <w:suppressLineNumbers w:val="0"/>
              <w:spacing w:before="0" w:beforeAutospacing="0" w:after="200" w:afterAutospacing="0" w:line="276" w:lineRule="auto"/>
              <w:rPr>
                <w:sz w:val="20"/>
                <w:szCs w:val="20"/>
              </w:rPr>
            </w:pPr>
            <w:r>
              <w:rPr>
                <w:rFonts w:hint="eastAsia" w:ascii="宋体" w:hAnsi="宋体" w:eastAsia="宋体" w:cs="宋体"/>
                <w:sz w:val="20"/>
                <w:szCs w:val="20"/>
                <w:bdr w:val="none" w:color="auto" w:sz="0" w:space="0"/>
              </w:rPr>
              <w:t> </w:t>
            </w:r>
          </w:p>
        </w:tc>
        <w:tc>
          <w:tcPr>
            <w:tcW w:w="877" w:type="dxa"/>
            <w:gridSpan w:val="2"/>
            <w:tcBorders>
              <w:bottom w:val="single" w:color="808080" w:sz="6" w:space="0"/>
            </w:tcBorders>
            <w:shd w:val="clear" w:color="auto" w:fill="FFFFFF"/>
            <w:tcMar>
              <w:top w:w="15" w:type="dxa"/>
              <w:left w:w="15" w:type="dxa"/>
              <w:bottom w:w="8" w:type="dxa"/>
              <w:right w:w="15" w:type="dxa"/>
            </w:tcMar>
            <w:vAlign w:val="center"/>
          </w:tcPr>
          <w:p>
            <w:pPr>
              <w:pStyle w:val="2"/>
              <w:keepNext w:val="0"/>
              <w:keepLines w:val="0"/>
              <w:widowControl/>
              <w:suppressLineNumbers w:val="0"/>
              <w:spacing w:before="0" w:beforeAutospacing="0" w:after="200" w:afterAutospacing="0" w:line="276" w:lineRule="auto"/>
              <w:rPr>
                <w:sz w:val="20"/>
                <w:szCs w:val="20"/>
              </w:rPr>
            </w:pPr>
            <w:r>
              <w:rPr>
                <w:rFonts w:hint="eastAsia" w:ascii="宋体" w:hAnsi="宋体" w:eastAsia="宋体" w:cs="宋体"/>
                <w:sz w:val="20"/>
                <w:szCs w:val="20"/>
                <w:bdr w:val="none" w:color="auto" w:sz="0" w:space="0"/>
              </w:rPr>
              <w:t> </w:t>
            </w:r>
          </w:p>
        </w:tc>
        <w:tc>
          <w:tcPr>
            <w:tcW w:w="230" w:type="dxa"/>
            <w:tcBorders>
              <w:bottom w:val="single" w:color="808080" w:sz="6" w:space="0"/>
            </w:tcBorders>
            <w:shd w:val="clear" w:color="auto" w:fill="FFFFFF"/>
            <w:tcMar>
              <w:top w:w="15" w:type="dxa"/>
              <w:left w:w="15" w:type="dxa"/>
              <w:bottom w:w="8" w:type="dxa"/>
              <w:right w:w="15" w:type="dxa"/>
            </w:tcMar>
            <w:vAlign w:val="center"/>
          </w:tcPr>
          <w:p>
            <w:pPr>
              <w:pStyle w:val="2"/>
              <w:keepNext w:val="0"/>
              <w:keepLines w:val="0"/>
              <w:widowControl/>
              <w:suppressLineNumbers w:val="0"/>
              <w:spacing w:before="0" w:beforeAutospacing="0" w:after="200" w:afterAutospacing="0" w:line="276" w:lineRule="auto"/>
              <w:rPr>
                <w:sz w:val="20"/>
                <w:szCs w:val="20"/>
              </w:rPr>
            </w:pPr>
            <w:r>
              <w:rPr>
                <w:rFonts w:hint="eastAsia" w:ascii="宋体" w:hAnsi="宋体" w:eastAsia="宋体" w:cs="宋体"/>
                <w:sz w:val="20"/>
                <w:szCs w:val="20"/>
                <w:bdr w:val="none" w:color="auto" w:sz="0" w:space="0"/>
              </w:rPr>
              <w:t> </w:t>
            </w:r>
          </w:p>
        </w:tc>
        <w:tc>
          <w:tcPr>
            <w:tcW w:w="721" w:type="dxa"/>
            <w:tcBorders>
              <w:bottom w:val="single" w:color="808080" w:sz="6" w:space="0"/>
            </w:tcBorders>
            <w:shd w:val="clear" w:color="auto" w:fill="FFFFFF"/>
            <w:tcMar>
              <w:top w:w="15" w:type="dxa"/>
              <w:left w:w="15" w:type="dxa"/>
              <w:bottom w:w="8" w:type="dxa"/>
              <w:right w:w="15" w:type="dxa"/>
            </w:tcMar>
            <w:vAlign w:val="center"/>
          </w:tcPr>
          <w:p>
            <w:pPr>
              <w:pStyle w:val="2"/>
              <w:keepNext w:val="0"/>
              <w:keepLines w:val="0"/>
              <w:widowControl/>
              <w:suppressLineNumbers w:val="0"/>
              <w:spacing w:before="0" w:beforeAutospacing="0" w:after="200" w:afterAutospacing="0" w:line="276" w:lineRule="auto"/>
              <w:rPr>
                <w:sz w:val="20"/>
                <w:szCs w:val="20"/>
              </w:rPr>
            </w:pPr>
            <w:r>
              <w:rPr>
                <w:rFonts w:hint="eastAsia" w:ascii="宋体" w:hAnsi="宋体" w:eastAsia="宋体" w:cs="宋体"/>
                <w:sz w:val="20"/>
                <w:szCs w:val="20"/>
                <w:bdr w:val="none" w:color="auto" w:sz="0" w:space="0"/>
              </w:rPr>
              <w:t> </w:t>
            </w:r>
          </w:p>
        </w:tc>
        <w:tc>
          <w:tcPr>
            <w:tcW w:w="957" w:type="dxa"/>
            <w:tcBorders>
              <w:bottom w:val="single" w:color="808080" w:sz="6" w:space="0"/>
            </w:tcBorders>
            <w:shd w:val="clear" w:color="auto" w:fill="FFFFFF"/>
            <w:tcMar>
              <w:top w:w="15" w:type="dxa"/>
              <w:left w:w="15" w:type="dxa"/>
              <w:bottom w:w="8" w:type="dxa"/>
              <w:right w:w="15" w:type="dxa"/>
            </w:tcMar>
            <w:vAlign w:val="center"/>
          </w:tcPr>
          <w:p>
            <w:pPr>
              <w:pStyle w:val="2"/>
              <w:keepNext w:val="0"/>
              <w:keepLines w:val="0"/>
              <w:widowControl/>
              <w:suppressLineNumbers w:val="0"/>
              <w:spacing w:before="0" w:beforeAutospacing="0" w:after="200" w:afterAutospacing="0" w:line="276" w:lineRule="auto"/>
              <w:rPr>
                <w:sz w:val="20"/>
                <w:szCs w:val="20"/>
              </w:rPr>
            </w:pPr>
            <w:r>
              <w:rPr>
                <w:rFonts w:hint="eastAsia" w:ascii="宋体" w:hAnsi="宋体" w:eastAsia="宋体" w:cs="宋体"/>
                <w:sz w:val="20"/>
                <w:szCs w:val="20"/>
                <w:bdr w:val="none" w:color="auto" w:sz="0" w:space="0"/>
              </w:rPr>
              <w:t> </w:t>
            </w:r>
          </w:p>
        </w:tc>
        <w:tc>
          <w:tcPr>
            <w:tcW w:w="1623" w:type="dxa"/>
            <w:gridSpan w:val="5"/>
            <w:tcBorders>
              <w:bottom w:val="single" w:color="808080" w:sz="6" w:space="0"/>
            </w:tcBorders>
            <w:shd w:val="clear" w:color="auto" w:fill="FFFFFF"/>
            <w:tcMar>
              <w:top w:w="15" w:type="dxa"/>
              <w:left w:w="15" w:type="dxa"/>
              <w:bottom w:w="8" w:type="dxa"/>
              <w:right w:w="15"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单位：万元</w:t>
            </w:r>
          </w:p>
        </w:tc>
        <w:tc>
          <w:tcPr>
            <w:tcW w:w="178" w:type="dxa"/>
            <w:shd w:val="clear"/>
            <w:vAlign w:val="center"/>
          </w:tcPr>
          <w:p>
            <w:pPr>
              <w:pStyle w:val="2"/>
              <w:keepNext w:val="0"/>
              <w:keepLines w:val="0"/>
              <w:widowControl/>
              <w:suppressLineNumbers w:val="0"/>
              <w:spacing w:before="0" w:beforeAutospacing="0" w:after="200" w:afterAutospacing="0" w:line="276" w:lineRule="auto"/>
              <w:rPr>
                <w:sz w:val="17"/>
                <w:szCs w:val="17"/>
              </w:rPr>
            </w:pPr>
            <w:r>
              <w:rPr>
                <w:rFonts w:hint="eastAsia" w:ascii="宋体" w:hAnsi="宋体" w:eastAsia="宋体" w:cs="宋体"/>
                <w:sz w:val="17"/>
                <w:szCs w:val="17"/>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15" w:hRule="atLeast"/>
        </w:trPr>
        <w:tc>
          <w:tcPr>
            <w:tcW w:w="543" w:type="dxa"/>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项目</w:t>
            </w:r>
          </w:p>
        </w:tc>
        <w:tc>
          <w:tcPr>
            <w:tcW w:w="433" w:type="dxa"/>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行次</w:t>
            </w:r>
          </w:p>
        </w:tc>
        <w:tc>
          <w:tcPr>
            <w:tcW w:w="1016" w:type="dxa"/>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资产总额</w:t>
            </w:r>
          </w:p>
        </w:tc>
        <w:tc>
          <w:tcPr>
            <w:tcW w:w="916" w:type="dxa"/>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流动资产</w:t>
            </w:r>
          </w:p>
        </w:tc>
        <w:tc>
          <w:tcPr>
            <w:tcW w:w="4383" w:type="dxa"/>
            <w:gridSpan w:val="8"/>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固定资产</w:t>
            </w:r>
          </w:p>
        </w:tc>
        <w:tc>
          <w:tcPr>
            <w:tcW w:w="721" w:type="dxa"/>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对外投资/有价证券</w:t>
            </w:r>
          </w:p>
        </w:tc>
        <w:tc>
          <w:tcPr>
            <w:tcW w:w="957" w:type="dxa"/>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在建工程</w:t>
            </w:r>
          </w:p>
        </w:tc>
        <w:tc>
          <w:tcPr>
            <w:tcW w:w="854" w:type="dxa"/>
            <w:gridSpan w:val="2"/>
            <w:vMerge w:val="restart"/>
            <w:tcBorders>
              <w:left w:val="single" w:color="auto" w:sz="6" w:space="0"/>
              <w:bottom w:val="single" w:color="auto" w:sz="6" w:space="0"/>
              <w:right w:val="single" w:color="auto" w:sz="6" w:space="0"/>
            </w:tcBorders>
            <w:shd w:val="clear"/>
            <w:tcMar>
              <w:top w:w="15"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无形资产</w:t>
            </w:r>
          </w:p>
        </w:tc>
        <w:tc>
          <w:tcPr>
            <w:tcW w:w="769" w:type="dxa"/>
            <w:gridSpan w:val="3"/>
            <w:vMerge w:val="restart"/>
            <w:tcBorders>
              <w:left w:val="single" w:color="auto" w:sz="6" w:space="0"/>
              <w:bottom w:val="single" w:color="auto" w:sz="6" w:space="0"/>
              <w:right w:val="single" w:color="auto" w:sz="6" w:space="0"/>
            </w:tcBorders>
            <w:shd w:val="clear"/>
            <w:tcMar>
              <w:top w:w="15"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其他资产</w:t>
            </w:r>
          </w:p>
        </w:tc>
        <w:tc>
          <w:tcPr>
            <w:tcW w:w="178" w:type="dxa"/>
            <w:shd w:val="clear"/>
            <w:vAlign w:val="center"/>
          </w:tcPr>
          <w:p>
            <w:pPr>
              <w:pStyle w:val="2"/>
              <w:keepNext w:val="0"/>
              <w:keepLines w:val="0"/>
              <w:widowControl/>
              <w:suppressLineNumbers w:val="0"/>
              <w:spacing w:before="0" w:beforeAutospacing="0" w:after="200" w:afterAutospacing="0" w:line="276" w:lineRule="auto"/>
              <w:rPr>
                <w:sz w:val="17"/>
                <w:szCs w:val="17"/>
              </w:rPr>
            </w:pPr>
            <w:r>
              <w:rPr>
                <w:rFonts w:hint="eastAsia" w:ascii="宋体" w:hAnsi="宋体" w:eastAsia="宋体" w:cs="宋体"/>
                <w:sz w:val="17"/>
                <w:szCs w:val="17"/>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45" w:hRule="atLeast"/>
        </w:trPr>
        <w:tc>
          <w:tcPr>
            <w:tcW w:w="543"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433"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1016"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916"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916" w:type="dxa"/>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小计</w:t>
            </w:r>
          </w:p>
        </w:tc>
        <w:tc>
          <w:tcPr>
            <w:tcW w:w="916" w:type="dxa"/>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房屋构筑物</w:t>
            </w:r>
          </w:p>
        </w:tc>
        <w:tc>
          <w:tcPr>
            <w:tcW w:w="751" w:type="dxa"/>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车辆</w:t>
            </w:r>
          </w:p>
        </w:tc>
        <w:tc>
          <w:tcPr>
            <w:tcW w:w="947" w:type="dxa"/>
            <w:gridSpan w:val="3"/>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单价200万以上大型设备</w:t>
            </w:r>
          </w:p>
        </w:tc>
        <w:tc>
          <w:tcPr>
            <w:tcW w:w="853" w:type="dxa"/>
            <w:gridSpan w:val="2"/>
            <w:vMerge w:val="restart"/>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其他固定资产</w:t>
            </w:r>
          </w:p>
        </w:tc>
        <w:tc>
          <w:tcPr>
            <w:tcW w:w="721"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957"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854" w:type="dxa"/>
            <w:gridSpan w:val="2"/>
            <w:vMerge w:val="continue"/>
            <w:tcBorders>
              <w:left w:val="single" w:color="auto" w:sz="6" w:space="0"/>
              <w:bottom w:val="single" w:color="auto" w:sz="6" w:space="0"/>
              <w:right w:val="single" w:color="auto" w:sz="6" w:space="0"/>
            </w:tcBorders>
            <w:shd w:val="clear"/>
            <w:tcMar>
              <w:top w:w="15" w:type="dxa"/>
              <w:left w:w="8" w:type="dxa"/>
              <w:bottom w:w="8" w:type="dxa"/>
              <w:right w:w="8" w:type="dxa"/>
            </w:tcMar>
            <w:vAlign w:val="center"/>
          </w:tcPr>
          <w:p>
            <w:pPr>
              <w:rPr>
                <w:rFonts w:hint="eastAsia" w:ascii="宋体"/>
                <w:sz w:val="24"/>
                <w:szCs w:val="24"/>
              </w:rPr>
            </w:pPr>
          </w:p>
        </w:tc>
        <w:tc>
          <w:tcPr>
            <w:tcW w:w="769" w:type="dxa"/>
            <w:gridSpan w:val="3"/>
            <w:vMerge w:val="continue"/>
            <w:tcBorders>
              <w:left w:val="single" w:color="auto" w:sz="6" w:space="0"/>
              <w:bottom w:val="single" w:color="auto" w:sz="6" w:space="0"/>
              <w:right w:val="single" w:color="auto" w:sz="6" w:space="0"/>
            </w:tcBorders>
            <w:shd w:val="clear"/>
            <w:tcMar>
              <w:top w:w="15" w:type="dxa"/>
              <w:left w:w="8" w:type="dxa"/>
              <w:bottom w:w="8" w:type="dxa"/>
              <w:right w:w="8" w:type="dxa"/>
            </w:tcMar>
            <w:vAlign w:val="center"/>
          </w:tcPr>
          <w:p>
            <w:pPr>
              <w:rPr>
                <w:rFonts w:hint="eastAsia" w:ascii="宋体"/>
                <w:sz w:val="24"/>
                <w:szCs w:val="24"/>
              </w:rPr>
            </w:pPr>
          </w:p>
        </w:tc>
        <w:tc>
          <w:tcPr>
            <w:tcW w:w="178" w:type="dxa"/>
            <w:shd w:val="clear"/>
            <w:vAlign w:val="center"/>
          </w:tcPr>
          <w:p>
            <w:pPr>
              <w:pStyle w:val="2"/>
              <w:keepNext w:val="0"/>
              <w:keepLines w:val="0"/>
              <w:widowControl/>
              <w:suppressLineNumbers w:val="0"/>
              <w:spacing w:before="0" w:beforeAutospacing="0" w:after="200" w:afterAutospacing="0" w:line="276" w:lineRule="auto"/>
              <w:rPr>
                <w:sz w:val="17"/>
                <w:szCs w:val="17"/>
              </w:rPr>
            </w:pPr>
            <w:r>
              <w:rPr>
                <w:rFonts w:hint="eastAsia" w:ascii="宋体" w:hAnsi="宋体" w:eastAsia="宋体" w:cs="宋体"/>
                <w:sz w:val="17"/>
                <w:szCs w:val="17"/>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5" w:hRule="atLeast"/>
        </w:trPr>
        <w:tc>
          <w:tcPr>
            <w:tcW w:w="543"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433"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1016"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916"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916"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916"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751"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947" w:type="dxa"/>
            <w:gridSpan w:val="3"/>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853" w:type="dxa"/>
            <w:gridSpan w:val="2"/>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721"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957" w:type="dxa"/>
            <w:vMerge w:val="continue"/>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rPr>
                <w:rFonts w:hint="eastAsia" w:ascii="宋体"/>
                <w:sz w:val="24"/>
                <w:szCs w:val="24"/>
              </w:rPr>
            </w:pPr>
          </w:p>
        </w:tc>
        <w:tc>
          <w:tcPr>
            <w:tcW w:w="854" w:type="dxa"/>
            <w:gridSpan w:val="2"/>
            <w:vMerge w:val="continue"/>
            <w:tcBorders>
              <w:left w:val="single" w:color="auto" w:sz="6" w:space="0"/>
              <w:bottom w:val="single" w:color="auto" w:sz="6" w:space="0"/>
              <w:right w:val="single" w:color="auto" w:sz="6" w:space="0"/>
            </w:tcBorders>
            <w:shd w:val="clear"/>
            <w:tcMar>
              <w:top w:w="15" w:type="dxa"/>
              <w:left w:w="8" w:type="dxa"/>
              <w:bottom w:w="8" w:type="dxa"/>
              <w:right w:w="8" w:type="dxa"/>
            </w:tcMar>
            <w:vAlign w:val="center"/>
          </w:tcPr>
          <w:p>
            <w:pPr>
              <w:rPr>
                <w:rFonts w:hint="eastAsia" w:ascii="宋体"/>
                <w:sz w:val="24"/>
                <w:szCs w:val="24"/>
              </w:rPr>
            </w:pPr>
          </w:p>
        </w:tc>
        <w:tc>
          <w:tcPr>
            <w:tcW w:w="769" w:type="dxa"/>
            <w:gridSpan w:val="3"/>
            <w:vMerge w:val="continue"/>
            <w:tcBorders>
              <w:left w:val="single" w:color="auto" w:sz="6" w:space="0"/>
              <w:bottom w:val="single" w:color="auto" w:sz="6" w:space="0"/>
              <w:right w:val="single" w:color="auto" w:sz="6" w:space="0"/>
            </w:tcBorders>
            <w:shd w:val="clear"/>
            <w:tcMar>
              <w:top w:w="15" w:type="dxa"/>
              <w:left w:w="8" w:type="dxa"/>
              <w:bottom w:w="8" w:type="dxa"/>
              <w:right w:w="8" w:type="dxa"/>
            </w:tcMar>
            <w:vAlign w:val="center"/>
          </w:tcPr>
          <w:p>
            <w:pPr>
              <w:rPr>
                <w:rFonts w:hint="eastAsia" w:ascii="宋体"/>
                <w:sz w:val="24"/>
                <w:szCs w:val="24"/>
              </w:rPr>
            </w:pPr>
          </w:p>
        </w:tc>
        <w:tc>
          <w:tcPr>
            <w:tcW w:w="178" w:type="dxa"/>
            <w:shd w:val="clear"/>
            <w:vAlign w:val="center"/>
          </w:tcPr>
          <w:p>
            <w:pPr>
              <w:pStyle w:val="2"/>
              <w:keepNext w:val="0"/>
              <w:keepLines w:val="0"/>
              <w:widowControl/>
              <w:suppressLineNumbers w:val="0"/>
              <w:spacing w:before="0" w:beforeAutospacing="0" w:after="200" w:afterAutospacing="0" w:line="276" w:lineRule="auto"/>
              <w:rPr>
                <w:sz w:val="17"/>
                <w:szCs w:val="17"/>
              </w:rPr>
            </w:pPr>
            <w:r>
              <w:rPr>
                <w:rFonts w:hint="eastAsia" w:ascii="宋体" w:hAnsi="宋体" w:eastAsia="宋体" w:cs="宋体"/>
                <w:sz w:val="17"/>
                <w:szCs w:val="17"/>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58" w:hRule="atLeast"/>
        </w:trPr>
        <w:tc>
          <w:tcPr>
            <w:tcW w:w="543"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栏次</w:t>
            </w:r>
          </w:p>
        </w:tc>
        <w:tc>
          <w:tcPr>
            <w:tcW w:w="433"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rPr>
                <w:sz w:val="20"/>
                <w:szCs w:val="20"/>
              </w:rPr>
            </w:pPr>
            <w:r>
              <w:rPr>
                <w:rFonts w:hint="eastAsia" w:ascii="宋体" w:hAnsi="宋体" w:eastAsia="宋体" w:cs="宋体"/>
                <w:sz w:val="20"/>
                <w:szCs w:val="20"/>
                <w:bdr w:val="none" w:color="auto" w:sz="0" w:space="0"/>
              </w:rPr>
              <w:t> </w:t>
            </w:r>
          </w:p>
        </w:tc>
        <w:tc>
          <w:tcPr>
            <w:tcW w:w="1016"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1</w:t>
            </w:r>
          </w:p>
        </w:tc>
        <w:tc>
          <w:tcPr>
            <w:tcW w:w="916"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2</w:t>
            </w:r>
          </w:p>
        </w:tc>
        <w:tc>
          <w:tcPr>
            <w:tcW w:w="916"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3</w:t>
            </w:r>
          </w:p>
        </w:tc>
        <w:tc>
          <w:tcPr>
            <w:tcW w:w="916"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4</w:t>
            </w:r>
          </w:p>
        </w:tc>
        <w:tc>
          <w:tcPr>
            <w:tcW w:w="751"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5</w:t>
            </w:r>
          </w:p>
        </w:tc>
        <w:tc>
          <w:tcPr>
            <w:tcW w:w="947" w:type="dxa"/>
            <w:gridSpan w:val="3"/>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6</w:t>
            </w:r>
          </w:p>
        </w:tc>
        <w:tc>
          <w:tcPr>
            <w:tcW w:w="853" w:type="dxa"/>
            <w:gridSpan w:val="2"/>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7</w:t>
            </w:r>
          </w:p>
        </w:tc>
        <w:tc>
          <w:tcPr>
            <w:tcW w:w="721"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8</w:t>
            </w:r>
          </w:p>
        </w:tc>
        <w:tc>
          <w:tcPr>
            <w:tcW w:w="957"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9</w:t>
            </w:r>
          </w:p>
        </w:tc>
        <w:tc>
          <w:tcPr>
            <w:tcW w:w="854" w:type="dxa"/>
            <w:gridSpan w:val="2"/>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10</w:t>
            </w:r>
          </w:p>
        </w:tc>
        <w:tc>
          <w:tcPr>
            <w:tcW w:w="769" w:type="dxa"/>
            <w:gridSpan w:val="3"/>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11</w:t>
            </w:r>
          </w:p>
        </w:tc>
        <w:tc>
          <w:tcPr>
            <w:tcW w:w="178" w:type="dxa"/>
            <w:shd w:val="clear"/>
            <w:vAlign w:val="center"/>
          </w:tcPr>
          <w:p>
            <w:pPr>
              <w:pStyle w:val="2"/>
              <w:keepNext w:val="0"/>
              <w:keepLines w:val="0"/>
              <w:widowControl/>
              <w:suppressLineNumbers w:val="0"/>
              <w:spacing w:before="0" w:beforeAutospacing="0" w:after="200" w:afterAutospacing="0" w:line="276" w:lineRule="auto"/>
              <w:rPr>
                <w:sz w:val="17"/>
                <w:szCs w:val="17"/>
              </w:rPr>
            </w:pPr>
            <w:r>
              <w:rPr>
                <w:rFonts w:hint="eastAsia" w:ascii="宋体" w:hAnsi="宋体" w:eastAsia="宋体" w:cs="宋体"/>
                <w:sz w:val="17"/>
                <w:szCs w:val="17"/>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63" w:hRule="atLeast"/>
        </w:trPr>
        <w:tc>
          <w:tcPr>
            <w:tcW w:w="543"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合计</w:t>
            </w:r>
          </w:p>
        </w:tc>
        <w:tc>
          <w:tcPr>
            <w:tcW w:w="433"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1</w:t>
            </w:r>
          </w:p>
        </w:tc>
        <w:tc>
          <w:tcPr>
            <w:tcW w:w="1016"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13289.84 </w:t>
            </w:r>
          </w:p>
        </w:tc>
        <w:tc>
          <w:tcPr>
            <w:tcW w:w="916"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2716.57 </w:t>
            </w:r>
          </w:p>
        </w:tc>
        <w:tc>
          <w:tcPr>
            <w:tcW w:w="916"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4573.08 </w:t>
            </w:r>
          </w:p>
        </w:tc>
        <w:tc>
          <w:tcPr>
            <w:tcW w:w="916"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4285.89 </w:t>
            </w:r>
          </w:p>
        </w:tc>
        <w:tc>
          <w:tcPr>
            <w:tcW w:w="751"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52.56 </w:t>
            </w:r>
          </w:p>
        </w:tc>
        <w:tc>
          <w:tcPr>
            <w:tcW w:w="947" w:type="dxa"/>
            <w:gridSpan w:val="3"/>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0 </w:t>
            </w:r>
          </w:p>
        </w:tc>
        <w:tc>
          <w:tcPr>
            <w:tcW w:w="853" w:type="dxa"/>
            <w:gridSpan w:val="2"/>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234.63 </w:t>
            </w:r>
          </w:p>
        </w:tc>
        <w:tc>
          <w:tcPr>
            <w:tcW w:w="721"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center"/>
              <w:rPr>
                <w:sz w:val="20"/>
                <w:szCs w:val="20"/>
              </w:rPr>
            </w:pPr>
            <w:r>
              <w:rPr>
                <w:rFonts w:hint="eastAsia" w:ascii="宋体" w:hAnsi="宋体" w:eastAsia="宋体" w:cs="宋体"/>
                <w:sz w:val="20"/>
                <w:szCs w:val="20"/>
                <w:bdr w:val="none" w:color="auto" w:sz="0" w:space="0"/>
              </w:rPr>
              <w:t>0</w:t>
            </w:r>
          </w:p>
        </w:tc>
        <w:tc>
          <w:tcPr>
            <w:tcW w:w="957" w:type="dxa"/>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5999.86 </w:t>
            </w:r>
          </w:p>
        </w:tc>
        <w:tc>
          <w:tcPr>
            <w:tcW w:w="854" w:type="dxa"/>
            <w:gridSpan w:val="2"/>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0.33 </w:t>
            </w:r>
          </w:p>
        </w:tc>
        <w:tc>
          <w:tcPr>
            <w:tcW w:w="769" w:type="dxa"/>
            <w:gridSpan w:val="3"/>
            <w:tcBorders>
              <w:top w:val="single" w:color="auto" w:sz="6" w:space="0"/>
              <w:left w:val="single" w:color="auto" w:sz="6" w:space="0"/>
              <w:bottom w:val="single" w:color="auto" w:sz="6" w:space="0"/>
              <w:right w:val="single" w:color="auto" w:sz="6" w:space="0"/>
            </w:tcBorders>
            <w:shd w:val="clear"/>
            <w:tcMar>
              <w:top w:w="8" w:type="dxa"/>
              <w:left w:w="8" w:type="dxa"/>
              <w:bottom w:w="8" w:type="dxa"/>
              <w:right w:w="8" w:type="dxa"/>
            </w:tcMar>
            <w:vAlign w:val="center"/>
          </w:tcPr>
          <w:p>
            <w:pPr>
              <w:pStyle w:val="2"/>
              <w:keepNext w:val="0"/>
              <w:keepLines w:val="0"/>
              <w:widowControl/>
              <w:suppressLineNumbers w:val="0"/>
              <w:spacing w:before="0" w:beforeAutospacing="0" w:after="200" w:afterAutospacing="0" w:line="276" w:lineRule="auto"/>
              <w:jc w:val="right"/>
              <w:rPr>
                <w:sz w:val="20"/>
                <w:szCs w:val="20"/>
              </w:rPr>
            </w:pPr>
            <w:r>
              <w:rPr>
                <w:rFonts w:hint="eastAsia" w:ascii="宋体" w:hAnsi="宋体" w:eastAsia="宋体" w:cs="宋体"/>
                <w:sz w:val="20"/>
                <w:szCs w:val="20"/>
                <w:bdr w:val="none" w:color="auto" w:sz="0" w:space="0"/>
              </w:rPr>
              <w:t>0 </w:t>
            </w:r>
          </w:p>
        </w:tc>
        <w:tc>
          <w:tcPr>
            <w:tcW w:w="178" w:type="dxa"/>
            <w:shd w:val="clear"/>
            <w:vAlign w:val="center"/>
          </w:tcPr>
          <w:p>
            <w:pPr>
              <w:pStyle w:val="2"/>
              <w:keepNext w:val="0"/>
              <w:keepLines w:val="0"/>
              <w:widowControl/>
              <w:suppressLineNumbers w:val="0"/>
              <w:spacing w:before="0" w:beforeAutospacing="0" w:after="200" w:afterAutospacing="0" w:line="276" w:lineRule="auto"/>
              <w:rPr>
                <w:sz w:val="17"/>
                <w:szCs w:val="17"/>
              </w:rPr>
            </w:pPr>
            <w:r>
              <w:rPr>
                <w:rFonts w:hint="eastAsia" w:ascii="宋体" w:hAnsi="宋体" w:eastAsia="宋体" w:cs="宋体"/>
                <w:sz w:val="17"/>
                <w:szCs w:val="17"/>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59" w:hRule="atLeast"/>
        </w:trPr>
        <w:tc>
          <w:tcPr>
            <w:tcW w:w="8969" w:type="dxa"/>
            <w:gridSpan w:val="14"/>
            <w:shd w:val="clear"/>
            <w:tcMar>
              <w:top w:w="15" w:type="dxa"/>
              <w:left w:w="15" w:type="dxa"/>
              <w:bottom w:w="15" w:type="dxa"/>
              <w:right w:w="15" w:type="dxa"/>
            </w:tcMar>
            <w:vAlign w:val="bottom"/>
          </w:tcPr>
          <w:p>
            <w:pPr>
              <w:pStyle w:val="2"/>
              <w:keepNext w:val="0"/>
              <w:keepLines w:val="0"/>
              <w:widowControl/>
              <w:suppressLineNumbers w:val="0"/>
              <w:spacing w:before="0" w:beforeAutospacing="0" w:after="200" w:afterAutospacing="0" w:line="276" w:lineRule="auto"/>
              <w:jc w:val="both"/>
              <w:rPr>
                <w:sz w:val="24"/>
                <w:szCs w:val="24"/>
              </w:rPr>
            </w:pPr>
            <w:r>
              <w:rPr>
                <w:rFonts w:hint="eastAsia" w:ascii="宋体" w:hAnsi="宋体" w:eastAsia="宋体" w:cs="宋体"/>
                <w:sz w:val="24"/>
                <w:szCs w:val="24"/>
                <w:bdr w:val="none" w:color="auto" w:sz="0" w:space="0"/>
              </w:rPr>
              <w:t> </w:t>
            </w:r>
          </w:p>
        </w:tc>
        <w:tc>
          <w:tcPr>
            <w:tcW w:w="360" w:type="dxa"/>
            <w:shd w:val="clear"/>
            <w:tcMar>
              <w:top w:w="15" w:type="dxa"/>
              <w:left w:w="15" w:type="dxa"/>
              <w:bottom w:w="15" w:type="dxa"/>
              <w:right w:w="15" w:type="dxa"/>
            </w:tcMar>
            <w:vAlign w:val="bottom"/>
          </w:tcPr>
          <w:p>
            <w:pPr>
              <w:pStyle w:val="2"/>
              <w:keepNext w:val="0"/>
              <w:keepLines w:val="0"/>
              <w:widowControl/>
              <w:suppressLineNumbers w:val="0"/>
              <w:spacing w:before="0" w:beforeAutospacing="0" w:after="200" w:afterAutospacing="0" w:line="276" w:lineRule="auto"/>
              <w:jc w:val="both"/>
              <w:rPr>
                <w:sz w:val="20"/>
                <w:szCs w:val="20"/>
              </w:rPr>
            </w:pPr>
            <w:r>
              <w:rPr>
                <w:rFonts w:hint="eastAsia" w:ascii="宋体" w:hAnsi="宋体" w:eastAsia="宋体" w:cs="宋体"/>
                <w:sz w:val="20"/>
                <w:szCs w:val="20"/>
                <w:bdr w:val="none" w:color="auto" w:sz="0" w:space="0"/>
              </w:rPr>
              <w:t> </w:t>
            </w:r>
          </w:p>
        </w:tc>
        <w:tc>
          <w:tcPr>
            <w:tcW w:w="758" w:type="dxa"/>
            <w:gridSpan w:val="2"/>
            <w:shd w:val="clear"/>
            <w:tcMar>
              <w:top w:w="15" w:type="dxa"/>
              <w:left w:w="15" w:type="dxa"/>
              <w:bottom w:w="15" w:type="dxa"/>
              <w:right w:w="15" w:type="dxa"/>
            </w:tcMar>
            <w:vAlign w:val="bottom"/>
          </w:tcPr>
          <w:p>
            <w:pPr>
              <w:pStyle w:val="2"/>
              <w:keepNext w:val="0"/>
              <w:keepLines w:val="0"/>
              <w:widowControl/>
              <w:suppressLineNumbers w:val="0"/>
              <w:spacing w:before="0" w:beforeAutospacing="0" w:after="200" w:afterAutospacing="0" w:line="276" w:lineRule="auto"/>
              <w:rPr>
                <w:sz w:val="24"/>
                <w:szCs w:val="24"/>
              </w:rPr>
            </w:pPr>
            <w:r>
              <w:rPr>
                <w:rFonts w:hint="eastAsia" w:ascii="宋体" w:hAnsi="宋体" w:eastAsia="宋体" w:cs="宋体"/>
                <w:sz w:val="24"/>
                <w:szCs w:val="24"/>
                <w:bdr w:val="none" w:color="auto" w:sz="0" w:space="0"/>
              </w:rPr>
              <w:t> </w:t>
            </w:r>
          </w:p>
        </w:tc>
        <w:tc>
          <w:tcPr>
            <w:tcW w:w="170" w:type="dxa"/>
            <w:shd w:val="clear"/>
            <w:vAlign w:val="center"/>
          </w:tcPr>
          <w:p>
            <w:pPr>
              <w:pStyle w:val="2"/>
              <w:keepNext w:val="0"/>
              <w:keepLines w:val="0"/>
              <w:widowControl/>
              <w:suppressLineNumbers w:val="0"/>
              <w:spacing w:before="0" w:beforeAutospacing="0" w:after="200" w:afterAutospacing="0" w:line="276" w:lineRule="auto"/>
              <w:rPr>
                <w:sz w:val="17"/>
                <w:szCs w:val="17"/>
              </w:rPr>
            </w:pPr>
            <w:r>
              <w:rPr>
                <w:rFonts w:hint="eastAsia" w:ascii="宋体" w:hAnsi="宋体" w:eastAsia="宋体" w:cs="宋体"/>
                <w:sz w:val="17"/>
                <w:szCs w:val="17"/>
              </w:rPr>
              <w:t> </w:t>
            </w:r>
          </w:p>
        </w:tc>
        <w:tc>
          <w:tcPr>
            <w:tcW w:w="335" w:type="dxa"/>
            <w:tcBorders>
              <w:top w:val="single" w:color="auto" w:sz="6" w:space="0"/>
            </w:tcBorders>
            <w:shd w:val="clear"/>
            <w:vAlign w:val="top"/>
          </w:tcPr>
          <w:p>
            <w:pPr>
              <w:rPr>
                <w:rFonts w:hint="eastAsia" w:ascii="宋体"/>
                <w:sz w:val="24"/>
                <w:szCs w:val="24"/>
              </w:rPr>
            </w:pPr>
          </w:p>
        </w:tc>
        <w:tc>
          <w:tcPr>
            <w:tcW w:w="178" w:type="dxa"/>
            <w:shd w:val="clear"/>
            <w:vAlign w:val="top"/>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95" w:hRule="atLeast"/>
        </w:trPr>
        <w:tc>
          <w:tcPr>
            <w:tcW w:w="9823" w:type="dxa"/>
            <w:gridSpan w:val="16"/>
            <w:shd w:val="clear"/>
            <w:tcMar>
              <w:top w:w="15" w:type="dxa"/>
              <w:left w:w="15" w:type="dxa"/>
              <w:bottom w:w="15" w:type="dxa"/>
              <w:right w:w="15" w:type="dxa"/>
            </w:tcMar>
            <w:vAlign w:val="bottom"/>
          </w:tcPr>
          <w:p>
            <w:pPr>
              <w:pStyle w:val="2"/>
              <w:keepNext w:val="0"/>
              <w:keepLines w:val="0"/>
              <w:widowControl/>
              <w:suppressLineNumbers w:val="0"/>
              <w:spacing w:before="0" w:beforeAutospacing="0" w:after="200" w:afterAutospacing="0" w:line="276" w:lineRule="auto"/>
              <w:jc w:val="both"/>
              <w:rPr>
                <w:sz w:val="20"/>
                <w:szCs w:val="20"/>
              </w:rPr>
            </w:pPr>
            <w:r>
              <w:rPr>
                <w:rFonts w:hint="eastAsia" w:ascii="宋体" w:hAnsi="宋体" w:eastAsia="宋体" w:cs="宋体"/>
                <w:sz w:val="20"/>
                <w:szCs w:val="20"/>
                <w:bdr w:val="none" w:color="auto" w:sz="0" w:space="0"/>
              </w:rPr>
              <w:t>填报说明：1.资产总额＝流动资产＋固定资产＋对外投资+有价证券＋在建工程＋无形资产＋其他资产</w:t>
            </w:r>
          </w:p>
          <w:p>
            <w:pPr>
              <w:pStyle w:val="2"/>
              <w:keepNext w:val="0"/>
              <w:keepLines w:val="0"/>
              <w:widowControl/>
              <w:suppressLineNumbers w:val="0"/>
              <w:spacing w:before="0" w:beforeAutospacing="0" w:after="200" w:afterAutospacing="0" w:line="276" w:lineRule="auto"/>
              <w:ind w:left="0" w:firstLine="1000"/>
              <w:jc w:val="both"/>
              <w:rPr>
                <w:sz w:val="20"/>
                <w:szCs w:val="20"/>
              </w:rPr>
            </w:pPr>
            <w:r>
              <w:rPr>
                <w:rFonts w:hint="eastAsia" w:ascii="宋体" w:hAnsi="宋体" w:eastAsia="宋体" w:cs="宋体"/>
                <w:sz w:val="20"/>
                <w:szCs w:val="20"/>
                <w:bdr w:val="none" w:color="auto" w:sz="0" w:space="0"/>
              </w:rPr>
              <w:t>2.固定资产＝房屋构筑物＋车辆＋单价200万元以上大型设备＋其他固定资产</w:t>
            </w:r>
          </w:p>
        </w:tc>
        <w:tc>
          <w:tcPr>
            <w:tcW w:w="769" w:type="dxa"/>
            <w:gridSpan w:val="3"/>
            <w:shd w:val="clear"/>
            <w:tcMar>
              <w:top w:w="15" w:type="dxa"/>
              <w:left w:w="15" w:type="dxa"/>
              <w:bottom w:w="15" w:type="dxa"/>
              <w:right w:w="15" w:type="dxa"/>
            </w:tcMar>
            <w:vAlign w:val="bottom"/>
          </w:tcPr>
          <w:p>
            <w:pPr>
              <w:pStyle w:val="2"/>
              <w:keepNext w:val="0"/>
              <w:keepLines w:val="0"/>
              <w:widowControl/>
              <w:suppressLineNumbers w:val="0"/>
              <w:spacing w:before="0" w:beforeAutospacing="0" w:after="200" w:afterAutospacing="0" w:line="276" w:lineRule="auto"/>
              <w:rPr>
                <w:sz w:val="20"/>
                <w:szCs w:val="20"/>
              </w:rPr>
            </w:pPr>
            <w:r>
              <w:rPr>
                <w:rFonts w:hint="default" w:ascii="Arial" w:hAnsi="Arial" w:cs="Arial"/>
                <w:sz w:val="20"/>
                <w:szCs w:val="20"/>
                <w:bdr w:val="none" w:color="auto" w:sz="0" w:space="0"/>
              </w:rPr>
              <w:t> </w:t>
            </w:r>
          </w:p>
        </w:tc>
        <w:tc>
          <w:tcPr>
            <w:tcW w:w="178" w:type="dxa"/>
            <w:shd w:val="clear"/>
            <w:vAlign w:val="center"/>
          </w:tcPr>
          <w:p>
            <w:pPr>
              <w:pStyle w:val="2"/>
              <w:keepNext w:val="0"/>
              <w:keepLines w:val="0"/>
              <w:widowControl/>
              <w:suppressLineNumbers w:val="0"/>
              <w:spacing w:before="0" w:beforeAutospacing="0" w:after="200" w:afterAutospacing="0" w:line="276" w:lineRule="auto"/>
              <w:rPr>
                <w:sz w:val="20"/>
                <w:szCs w:val="20"/>
              </w:rPr>
            </w:pPr>
            <w:r>
              <w:rPr>
                <w:rFonts w:hint="default" w:ascii="Times New Roman" w:hAnsi="Times New Roman" w:cs="Times New Roman"/>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0" w:hRule="atLeast"/>
        </w:trPr>
        <w:tc>
          <w:tcPr>
            <w:tcW w:w="543" w:type="dxa"/>
            <w:shd w:val="clear"/>
            <w:vAlign w:val="center"/>
          </w:tcPr>
          <w:p>
            <w:pPr>
              <w:rPr>
                <w:rFonts w:hint="eastAsia" w:ascii="宋体"/>
                <w:sz w:val="24"/>
                <w:szCs w:val="24"/>
              </w:rPr>
            </w:pPr>
          </w:p>
        </w:tc>
        <w:tc>
          <w:tcPr>
            <w:tcW w:w="433" w:type="dxa"/>
            <w:shd w:val="clear"/>
            <w:vAlign w:val="center"/>
          </w:tcPr>
          <w:p>
            <w:pPr>
              <w:rPr>
                <w:rFonts w:hint="eastAsia" w:ascii="宋体"/>
                <w:sz w:val="24"/>
                <w:szCs w:val="24"/>
              </w:rPr>
            </w:pPr>
          </w:p>
        </w:tc>
        <w:tc>
          <w:tcPr>
            <w:tcW w:w="1016" w:type="dxa"/>
            <w:shd w:val="clear"/>
            <w:vAlign w:val="center"/>
          </w:tcPr>
          <w:p>
            <w:pPr>
              <w:rPr>
                <w:rFonts w:hint="eastAsia" w:ascii="宋体"/>
                <w:sz w:val="24"/>
                <w:szCs w:val="24"/>
              </w:rPr>
            </w:pPr>
          </w:p>
        </w:tc>
        <w:tc>
          <w:tcPr>
            <w:tcW w:w="916" w:type="dxa"/>
            <w:shd w:val="clear"/>
            <w:vAlign w:val="center"/>
          </w:tcPr>
          <w:p>
            <w:pPr>
              <w:rPr>
                <w:rFonts w:hint="eastAsia" w:ascii="宋体"/>
                <w:sz w:val="24"/>
                <w:szCs w:val="24"/>
              </w:rPr>
            </w:pPr>
          </w:p>
        </w:tc>
        <w:tc>
          <w:tcPr>
            <w:tcW w:w="916" w:type="dxa"/>
            <w:shd w:val="clear"/>
            <w:vAlign w:val="center"/>
          </w:tcPr>
          <w:p>
            <w:pPr>
              <w:rPr>
                <w:rFonts w:hint="eastAsia" w:ascii="宋体"/>
                <w:sz w:val="24"/>
                <w:szCs w:val="24"/>
              </w:rPr>
            </w:pPr>
          </w:p>
        </w:tc>
        <w:tc>
          <w:tcPr>
            <w:tcW w:w="916" w:type="dxa"/>
            <w:shd w:val="clear"/>
            <w:vAlign w:val="center"/>
          </w:tcPr>
          <w:p>
            <w:pPr>
              <w:rPr>
                <w:rFonts w:hint="eastAsia" w:ascii="宋体"/>
                <w:sz w:val="24"/>
                <w:szCs w:val="24"/>
              </w:rPr>
            </w:pPr>
          </w:p>
        </w:tc>
        <w:tc>
          <w:tcPr>
            <w:tcW w:w="751" w:type="dxa"/>
            <w:shd w:val="clear"/>
            <w:vAlign w:val="center"/>
          </w:tcPr>
          <w:p>
            <w:pPr>
              <w:rPr>
                <w:rFonts w:hint="eastAsia" w:ascii="宋体"/>
                <w:sz w:val="24"/>
                <w:szCs w:val="24"/>
              </w:rPr>
            </w:pPr>
          </w:p>
        </w:tc>
        <w:tc>
          <w:tcPr>
            <w:tcW w:w="46" w:type="dxa"/>
            <w:shd w:val="clear"/>
            <w:vAlign w:val="center"/>
          </w:tcPr>
          <w:p>
            <w:pPr>
              <w:rPr>
                <w:rFonts w:hint="eastAsia" w:ascii="宋体"/>
                <w:sz w:val="24"/>
                <w:szCs w:val="24"/>
              </w:rPr>
            </w:pPr>
          </w:p>
        </w:tc>
        <w:tc>
          <w:tcPr>
            <w:tcW w:w="647" w:type="dxa"/>
            <w:shd w:val="clear"/>
            <w:vAlign w:val="center"/>
          </w:tcPr>
          <w:p>
            <w:pPr>
              <w:rPr>
                <w:rFonts w:hint="eastAsia" w:ascii="宋体"/>
                <w:sz w:val="24"/>
                <w:szCs w:val="24"/>
              </w:rPr>
            </w:pPr>
          </w:p>
        </w:tc>
        <w:tc>
          <w:tcPr>
            <w:tcW w:w="254" w:type="dxa"/>
            <w:shd w:val="clear"/>
            <w:vAlign w:val="center"/>
          </w:tcPr>
          <w:p>
            <w:pPr>
              <w:rPr>
                <w:rFonts w:hint="eastAsia" w:ascii="宋体"/>
                <w:sz w:val="24"/>
                <w:szCs w:val="24"/>
              </w:rPr>
            </w:pPr>
          </w:p>
        </w:tc>
        <w:tc>
          <w:tcPr>
            <w:tcW w:w="623" w:type="dxa"/>
            <w:shd w:val="clear"/>
            <w:vAlign w:val="center"/>
          </w:tcPr>
          <w:p>
            <w:pPr>
              <w:rPr>
                <w:rFonts w:hint="eastAsia" w:ascii="宋体"/>
                <w:sz w:val="24"/>
                <w:szCs w:val="24"/>
              </w:rPr>
            </w:pPr>
          </w:p>
        </w:tc>
        <w:tc>
          <w:tcPr>
            <w:tcW w:w="230" w:type="dxa"/>
            <w:shd w:val="clear"/>
            <w:vAlign w:val="center"/>
          </w:tcPr>
          <w:p>
            <w:pPr>
              <w:rPr>
                <w:rFonts w:hint="eastAsia" w:ascii="宋体"/>
                <w:sz w:val="24"/>
                <w:szCs w:val="24"/>
              </w:rPr>
            </w:pPr>
          </w:p>
        </w:tc>
        <w:tc>
          <w:tcPr>
            <w:tcW w:w="721" w:type="dxa"/>
            <w:shd w:val="clear"/>
            <w:vAlign w:val="center"/>
          </w:tcPr>
          <w:p>
            <w:pPr>
              <w:rPr>
                <w:rFonts w:hint="eastAsia" w:ascii="宋体"/>
                <w:sz w:val="24"/>
                <w:szCs w:val="24"/>
              </w:rPr>
            </w:pPr>
          </w:p>
        </w:tc>
        <w:tc>
          <w:tcPr>
            <w:tcW w:w="957" w:type="dxa"/>
            <w:shd w:val="clear"/>
            <w:vAlign w:val="center"/>
          </w:tcPr>
          <w:p>
            <w:pPr>
              <w:rPr>
                <w:rFonts w:hint="eastAsia" w:ascii="宋体"/>
                <w:sz w:val="24"/>
                <w:szCs w:val="24"/>
              </w:rPr>
            </w:pPr>
          </w:p>
        </w:tc>
        <w:tc>
          <w:tcPr>
            <w:tcW w:w="360" w:type="dxa"/>
            <w:shd w:val="clear"/>
            <w:vAlign w:val="center"/>
          </w:tcPr>
          <w:p>
            <w:pPr>
              <w:rPr>
                <w:rFonts w:hint="eastAsia" w:ascii="宋体"/>
                <w:sz w:val="24"/>
                <w:szCs w:val="24"/>
              </w:rPr>
            </w:pPr>
          </w:p>
        </w:tc>
        <w:tc>
          <w:tcPr>
            <w:tcW w:w="494" w:type="dxa"/>
            <w:shd w:val="clear"/>
            <w:vAlign w:val="center"/>
          </w:tcPr>
          <w:p>
            <w:pPr>
              <w:rPr>
                <w:rFonts w:hint="eastAsia" w:ascii="宋体"/>
                <w:sz w:val="24"/>
                <w:szCs w:val="24"/>
              </w:rPr>
            </w:pPr>
          </w:p>
        </w:tc>
        <w:tc>
          <w:tcPr>
            <w:tcW w:w="264" w:type="dxa"/>
            <w:shd w:val="clear"/>
            <w:vAlign w:val="center"/>
          </w:tcPr>
          <w:p>
            <w:pPr>
              <w:rPr>
                <w:rFonts w:hint="eastAsia" w:ascii="宋体"/>
                <w:sz w:val="24"/>
                <w:szCs w:val="24"/>
              </w:rPr>
            </w:pPr>
          </w:p>
        </w:tc>
        <w:tc>
          <w:tcPr>
            <w:tcW w:w="170" w:type="dxa"/>
            <w:shd w:val="clear"/>
            <w:vAlign w:val="center"/>
          </w:tcPr>
          <w:p>
            <w:pPr>
              <w:rPr>
                <w:rFonts w:hint="eastAsia" w:ascii="宋体"/>
                <w:sz w:val="24"/>
                <w:szCs w:val="24"/>
              </w:rPr>
            </w:pPr>
          </w:p>
        </w:tc>
        <w:tc>
          <w:tcPr>
            <w:tcW w:w="335" w:type="dxa"/>
            <w:shd w:val="clear"/>
            <w:vAlign w:val="center"/>
          </w:tcPr>
          <w:p>
            <w:pPr>
              <w:rPr>
                <w:rFonts w:hint="eastAsia" w:ascii="宋体"/>
                <w:sz w:val="24"/>
                <w:szCs w:val="24"/>
              </w:rPr>
            </w:pPr>
          </w:p>
        </w:tc>
        <w:tc>
          <w:tcPr>
            <w:tcW w:w="178" w:type="dxa"/>
            <w:shd w:val="clear"/>
            <w:vAlign w:val="center"/>
          </w:tcPr>
          <w:p>
            <w:pPr>
              <w:rPr>
                <w:rFonts w:hint="eastAsia" w:ascii="宋体"/>
                <w:sz w:val="24"/>
                <w:szCs w:val="24"/>
              </w:rPr>
            </w:pPr>
          </w:p>
        </w:tc>
      </w:tr>
    </w:tbl>
    <w:p>
      <w:pPr>
        <w:pStyle w:val="2"/>
        <w:keepNext w:val="0"/>
        <w:keepLines w:val="0"/>
        <w:widowControl/>
        <w:suppressLineNumbers w:val="0"/>
        <w:spacing w:before="0" w:beforeAutospacing="0" w:after="200" w:afterAutospacing="0" w:line="276" w:lineRule="auto"/>
        <w:ind w:left="0" w:firstLine="600"/>
        <w:rPr>
          <w:sz w:val="30"/>
          <w:szCs w:val="30"/>
        </w:rPr>
      </w:pPr>
      <w:r>
        <w:rPr>
          <w:rFonts w:hint="eastAsia" w:ascii="黑体" w:hAnsi="宋体" w:eastAsia="黑体" w:cs="黑体"/>
          <w:sz w:val="30"/>
          <w:szCs w:val="30"/>
        </w:rPr>
        <w:t>三、政府采购支出情况</w:t>
      </w:r>
    </w:p>
    <w:p>
      <w:pPr>
        <w:pStyle w:val="2"/>
        <w:keepNext w:val="0"/>
        <w:keepLines w:val="0"/>
        <w:widowControl/>
        <w:suppressLineNumbers w:val="0"/>
        <w:spacing w:before="0" w:beforeAutospacing="0" w:after="200" w:afterAutospacing="0" w:line="276" w:lineRule="auto"/>
        <w:ind w:left="0" w:firstLine="600"/>
        <w:jc w:val="both"/>
        <w:rPr>
          <w:sz w:val="30"/>
          <w:szCs w:val="30"/>
        </w:rPr>
      </w:pPr>
      <w:r>
        <w:rPr>
          <w:rFonts w:hint="default" w:ascii="仿宋_GB2312" w:eastAsia="仿宋_GB2312" w:cs="仿宋_GB2312"/>
          <w:sz w:val="30"/>
          <w:szCs w:val="30"/>
        </w:rPr>
        <w:t>2019年度，部门政府采购支出总额1461.89万元，其中：政府采购货物支出1106.15万元；政府采购工程支出355.73万元；政府采购服务支出0万元。授予中小企业合同金额0万元，占政府采购支出总额的0%。</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eastAsia" w:ascii="黑体" w:hAnsi="宋体" w:eastAsia="黑体" w:cs="黑体"/>
          <w:sz w:val="30"/>
          <w:szCs w:val="30"/>
        </w:rPr>
        <w:t>四、部门绩效自评情况</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default" w:ascii="仿宋_GB2312" w:eastAsia="仿宋_GB2312" w:cs="仿宋_GB2312"/>
          <w:sz w:val="30"/>
          <w:szCs w:val="30"/>
        </w:rPr>
        <w:t>部门绩效自评情况详见附表（附表9—附表11）。</w:t>
      </w:r>
    </w:p>
    <w:p>
      <w:pPr>
        <w:pStyle w:val="2"/>
        <w:keepNext w:val="0"/>
        <w:keepLines w:val="0"/>
        <w:widowControl/>
        <w:suppressLineNumbers w:val="0"/>
        <w:spacing w:before="100" w:beforeAutospacing="0" w:after="100" w:afterAutospacing="0" w:line="360" w:lineRule="auto"/>
        <w:rPr>
          <w:sz w:val="30"/>
          <w:szCs w:val="30"/>
        </w:rPr>
      </w:pPr>
      <w:r>
        <w:rPr>
          <w:rFonts w:hint="eastAsia" w:ascii="黑体" w:hAnsi="宋体" w:eastAsia="黑体" w:cs="黑体"/>
          <w:sz w:val="30"/>
          <w:szCs w:val="30"/>
        </w:rPr>
        <w:t>五、其他重要事项情况说明</w:t>
      </w:r>
    </w:p>
    <w:p>
      <w:pPr>
        <w:pStyle w:val="2"/>
        <w:keepNext w:val="0"/>
        <w:keepLines w:val="0"/>
        <w:widowControl/>
        <w:suppressLineNumbers w:val="0"/>
        <w:spacing w:before="100" w:beforeAutospacing="0" w:after="100" w:afterAutospacing="0" w:line="360" w:lineRule="auto"/>
        <w:ind w:left="0" w:firstLine="1200"/>
        <w:rPr>
          <w:sz w:val="30"/>
          <w:szCs w:val="30"/>
        </w:rPr>
      </w:pPr>
      <w:r>
        <w:rPr>
          <w:rFonts w:hint="eastAsia" w:ascii="黑体" w:hAnsi="宋体" w:eastAsia="黑体" w:cs="黑体"/>
          <w:sz w:val="30"/>
          <w:szCs w:val="30"/>
        </w:rPr>
        <w:t>无</w:t>
      </w:r>
    </w:p>
    <w:p>
      <w:pPr>
        <w:pStyle w:val="2"/>
        <w:keepNext w:val="0"/>
        <w:keepLines w:val="0"/>
        <w:widowControl/>
        <w:suppressLineNumbers w:val="0"/>
        <w:spacing w:before="100" w:beforeAutospacing="0" w:after="100" w:afterAutospacing="0" w:line="360" w:lineRule="auto"/>
        <w:ind w:left="0" w:firstLine="600"/>
        <w:rPr>
          <w:sz w:val="30"/>
          <w:szCs w:val="30"/>
        </w:rPr>
      </w:pPr>
      <w:r>
        <w:rPr>
          <w:rFonts w:hint="eastAsia" w:ascii="黑体" w:hAnsi="宋体" w:eastAsia="黑体" w:cs="黑体"/>
          <w:sz w:val="30"/>
          <w:szCs w:val="30"/>
        </w:rPr>
        <w:t>六、相关口径说明</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default" w:ascii="仿宋_GB2312" w:eastAsia="仿宋_GB2312" w:cs="仿宋_GB2312"/>
          <w:sz w:val="30"/>
          <w:szCs w:val="30"/>
        </w:rPr>
        <w:t>（一）基本支出中人员经费包括工资福利支出和对个人和家庭的补助，日常公用支出包括商品和服务支出、资本性支出等人员经费以外的支出。</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default" w:ascii="仿宋_GB2312" w:eastAsia="仿宋_GB2312" w:cs="仿宋_GB2312"/>
          <w:sz w:val="30"/>
          <w:szCs w:val="30"/>
        </w:rPr>
        <w:t>（二）机关运行经费指行政单位和参照公务员法管理的事业单位使用一般公共预算财政拨款安排的基本支出中的日常公用经费支出。</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default" w:ascii="仿宋_GB2312" w:eastAsia="仿宋_GB2312" w:cs="仿宋_GB2312"/>
          <w:sz w:val="30"/>
          <w:szCs w:val="30"/>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default" w:ascii="仿宋_GB2312" w:eastAsia="仿宋_GB2312" w:cs="仿宋_GB2312"/>
          <w:sz w:val="30"/>
          <w:szCs w:val="30"/>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pStyle w:val="2"/>
        <w:keepNext w:val="0"/>
        <w:keepLines w:val="0"/>
        <w:widowControl/>
        <w:suppressLineNumbers w:val="0"/>
        <w:spacing w:before="0" w:beforeAutospacing="0" w:after="200" w:afterAutospacing="0" w:line="276" w:lineRule="auto"/>
        <w:jc w:val="center"/>
        <w:rPr>
          <w:sz w:val="32"/>
          <w:szCs w:val="32"/>
        </w:rPr>
      </w:pPr>
      <w:r>
        <w:rPr>
          <w:rFonts w:hint="eastAsia" w:ascii="黑体" w:hAnsi="宋体" w:eastAsia="黑体" w:cs="黑体"/>
          <w:sz w:val="32"/>
          <w:szCs w:val="32"/>
        </w:rPr>
        <w:t>第五部分  名词解释</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default" w:ascii="仿宋_GB2312" w:eastAsia="仿宋_GB2312" w:cs="仿宋_GB2312"/>
          <w:sz w:val="30"/>
          <w:szCs w:val="30"/>
        </w:rPr>
        <w:t>情况说明里涉及到需要解释说明的决算相关专用名词，在此进行说明解释。若没有涉及专用名词，请说明不涉及专用名词。</w:t>
      </w:r>
    </w:p>
    <w:p>
      <w:pPr>
        <w:pStyle w:val="2"/>
        <w:keepNext w:val="0"/>
        <w:keepLines w:val="0"/>
        <w:widowControl/>
        <w:suppressLineNumbers w:val="0"/>
        <w:spacing w:before="0" w:beforeAutospacing="0" w:after="200" w:afterAutospacing="0" w:line="276" w:lineRule="auto"/>
        <w:ind w:left="0" w:firstLine="600"/>
        <w:rPr>
          <w:sz w:val="30"/>
          <w:szCs w:val="30"/>
        </w:rPr>
      </w:pPr>
      <w:r>
        <w:rPr>
          <w:rFonts w:hint="default" w:ascii="仿宋_GB2312" w:eastAsia="仿宋_GB2312" w:cs="仿宋_GB2312"/>
          <w:sz w:val="30"/>
          <w:szCs w:val="30"/>
        </w:rPr>
        <w:t>无</w:t>
      </w:r>
    </w:p>
    <w:p>
      <w:pPr>
        <w:pStyle w:val="2"/>
        <w:keepNext w:val="0"/>
        <w:keepLines w:val="0"/>
        <w:widowControl/>
        <w:suppressLineNumbers w:val="0"/>
        <w:spacing w:before="0" w:beforeAutospacing="0" w:after="200" w:afterAutospacing="0" w:line="276" w:lineRule="auto"/>
        <w:jc w:val="both"/>
        <w:rPr>
          <w:sz w:val="21"/>
          <w:szCs w:val="21"/>
        </w:rPr>
      </w:pPr>
      <w:r>
        <w:rPr>
          <w:rFonts w:hint="default" w:ascii="Times New Roman" w:hAnsi="Times New Roman" w:cs="Times New Roman"/>
          <w:sz w:val="21"/>
          <w:szCs w:val="21"/>
        </w:rPr>
        <w:t> </w:t>
      </w:r>
    </w:p>
    <w:p>
      <w:pPr>
        <w:pStyle w:val="2"/>
        <w:keepNext w:val="0"/>
        <w:keepLines w:val="0"/>
        <w:widowControl/>
        <w:suppressLineNumbers w:val="0"/>
        <w:spacing w:before="0" w:beforeAutospacing="0" w:after="200" w:afterAutospacing="0" w:line="276" w:lineRule="auto"/>
        <w:jc w:val="both"/>
        <w:rPr>
          <w:sz w:val="36"/>
          <w:szCs w:val="36"/>
        </w:rPr>
      </w:pPr>
      <w:r>
        <w:rPr>
          <w:rFonts w:hint="default" w:ascii="Arial" w:hAnsi="Arial" w:cs="Arial"/>
          <w:b/>
          <w:sz w:val="36"/>
          <w:szCs w:val="36"/>
        </w:rPr>
        <w:t>监督索引号53342200236001111</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B4ECB"/>
    <w:multiLevelType w:val="multilevel"/>
    <w:tmpl w:val="6E6B4EC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D24B9"/>
    <w:rsid w:val="3F4D24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2020-10-27T07:56:00Z</dcterms:created>
  <dc:creator>简简单单</dc:creator>
  <cp:lastModifiedBy>简简单单</cp:lastModifiedBy>
  <dcterms:modified xsi:type="dcterms:W3CDTF">2020-10-27T07:57:29Z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