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行楷" w:hAnsi="Arial" w:eastAsia="华文行楷" w:cs="Arial"/>
          <w:color w:val="FF0000"/>
          <w:sz w:val="144"/>
          <w:szCs w:val="84"/>
        </w:rPr>
      </w:pPr>
      <w:r>
        <w:rPr>
          <w:rFonts w:hint="eastAsia" w:ascii="华文行楷" w:eastAsia="华文行楷" w:cs="Arial"/>
          <w:color w:val="FF0000"/>
          <w:sz w:val="144"/>
          <w:szCs w:val="84"/>
        </w:rPr>
        <w:t>简</w:t>
      </w:r>
      <w:r>
        <w:rPr>
          <w:rFonts w:hint="eastAsia" w:ascii="华文行楷" w:hAnsi="Arial" w:eastAsia="华文行楷" w:cs="Arial"/>
          <w:color w:val="FF0000"/>
          <w:sz w:val="144"/>
          <w:szCs w:val="84"/>
        </w:rPr>
        <w:t xml:space="preserve">   </w:t>
      </w:r>
      <w:r>
        <w:rPr>
          <w:rFonts w:hint="eastAsia" w:ascii="华文行楷" w:eastAsia="华文行楷" w:cs="Arial"/>
          <w:color w:val="FF0000"/>
          <w:sz w:val="144"/>
          <w:szCs w:val="84"/>
        </w:rPr>
        <w:t>报</w:t>
      </w:r>
    </w:p>
    <w:p>
      <w:pPr>
        <w:rPr>
          <w:rFonts w:ascii="仿宋_GB2312" w:eastAsia="仿宋_GB2312"/>
          <w:sz w:val="32"/>
          <w:szCs w:val="32"/>
        </w:rPr>
      </w:pPr>
    </w:p>
    <w:p>
      <w:pPr>
        <w:rPr>
          <w:sz w:val="32"/>
          <w:szCs w:val="32"/>
        </w:rPr>
      </w:pPr>
      <w:r>
        <mc:AlternateContent>
          <mc:Choice Requires="wps">
            <w:drawing>
              <wp:anchor distT="0" distB="0" distL="114300" distR="114300" simplePos="0" relativeHeight="251658240" behindDoc="0" locked="0" layoutInCell="1" allowOverlap="1">
                <wp:simplePos x="0" y="0"/>
                <wp:positionH relativeFrom="column">
                  <wp:posOffset>-190500</wp:posOffset>
                </wp:positionH>
                <wp:positionV relativeFrom="paragraph">
                  <wp:posOffset>377190</wp:posOffset>
                </wp:positionV>
                <wp:extent cx="5829300" cy="0"/>
                <wp:effectExtent l="0" t="0" r="0" b="0"/>
                <wp:wrapNone/>
                <wp:docPr id="4" name="直线 2"/>
                <wp:cNvGraphicFramePr/>
                <a:graphic xmlns:a="http://schemas.openxmlformats.org/drawingml/2006/main">
                  <a:graphicData uri="http://schemas.microsoft.com/office/word/2010/wordprocessingShape">
                    <wps:wsp>
                      <wps:cNvCnPr/>
                      <wps:spPr>
                        <a:xfrm>
                          <a:off x="0" y="0"/>
                          <a:ext cx="5829300" cy="0"/>
                        </a:xfrm>
                        <a:prstGeom prst="line">
                          <a:avLst/>
                        </a:prstGeom>
                        <a:ln w="444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5pt;margin-top:29.7pt;height:0pt;width:459pt;z-index:251658240;mso-width-relative:page;mso-height-relative:page;" filled="f" stroked="t" coordsize="21600,21600" o:gfxdata="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nU+Z1gAAAAkBAAAPAAAAAAAAAAEAIAAAACIAAABk&#10;cnMvZG93bnJldi54bWxQSwECFAAUAAAACACHTuJASYP9Js8BAACOAwAADgAAAAAAAAABACAAAAAl&#10;AQAAZHJzL2Uyb0RvYy54bWxQSwUGAAAAAAYABgBZAQAAZgUAAAAA&#10;">
                <v:fill on="f" focussize="0,0"/>
                <v:stroke weight="3.5pt" color="#FF0000" joinstyle="round"/>
                <v:imagedata o:title=""/>
                <o:lock v:ext="edit" aspectratio="f"/>
              </v:line>
            </w:pict>
          </mc:Fallback>
        </mc:AlternateContent>
      </w:r>
      <w:r>
        <w:rPr>
          <w:rFonts w:hint="eastAsia"/>
          <w:sz w:val="32"/>
          <w:szCs w:val="32"/>
        </w:rPr>
        <w:t>德钦县供销合作社</w:t>
      </w:r>
      <w:r>
        <w:rPr>
          <w:sz w:val="32"/>
          <w:szCs w:val="32"/>
        </w:rPr>
        <w:t xml:space="preserve">                    20</w:t>
      </w:r>
      <w:r>
        <w:rPr>
          <w:rFonts w:hint="eastAsia"/>
          <w:sz w:val="32"/>
          <w:szCs w:val="32"/>
          <w:lang w:val="en-US" w:eastAsia="zh-CN"/>
        </w:rPr>
        <w:t>20</w:t>
      </w:r>
      <w:r>
        <w:rPr>
          <w:rFonts w:hint="eastAsia"/>
          <w:sz w:val="32"/>
          <w:szCs w:val="32"/>
        </w:rPr>
        <w:t>年</w:t>
      </w:r>
      <w:r>
        <w:rPr>
          <w:rFonts w:hint="eastAsia"/>
          <w:sz w:val="32"/>
          <w:szCs w:val="32"/>
          <w:lang w:val="en-US" w:eastAsia="zh-CN"/>
        </w:rPr>
        <w:t>3</w:t>
      </w:r>
      <w:r>
        <w:rPr>
          <w:rFonts w:hint="eastAsia"/>
          <w:sz w:val="32"/>
          <w:szCs w:val="32"/>
        </w:rPr>
        <w:t>月</w:t>
      </w:r>
      <w:r>
        <w:rPr>
          <w:rFonts w:hint="eastAsia"/>
          <w:sz w:val="32"/>
          <w:szCs w:val="32"/>
          <w:lang w:val="en-US" w:eastAsia="zh-CN"/>
        </w:rPr>
        <w:t>3</w:t>
      </w:r>
      <w:r>
        <w:rPr>
          <w:rFonts w:hint="eastAsia"/>
          <w:sz w:val="32"/>
          <w:szCs w:val="32"/>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right="0"/>
        <w:jc w:val="both"/>
        <w:textAlignment w:val="auto"/>
        <w:rPr>
          <w:rFonts w:hint="eastAsia" w:asciiTheme="majorEastAsia" w:hAnsiTheme="majorEastAsia" w:eastAsiaTheme="majorEastAsia" w:cstheme="majorEastAsia"/>
          <w:b/>
          <w:bCs/>
          <w:i w:val="0"/>
          <w:caps w:val="0"/>
          <w:color w:val="191919"/>
          <w:spacing w:val="0"/>
          <w:sz w:val="44"/>
          <w:szCs w:val="44"/>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right="0"/>
        <w:jc w:val="center"/>
        <w:textAlignment w:val="auto"/>
        <w:rPr>
          <w:rFonts w:hint="eastAsia" w:asciiTheme="majorEastAsia" w:hAnsiTheme="majorEastAsia" w:eastAsiaTheme="majorEastAsia" w:cstheme="majorEastAsia"/>
          <w:b/>
          <w:bCs/>
          <w:i w:val="0"/>
          <w:caps w:val="0"/>
          <w:color w:val="191919"/>
          <w:spacing w:val="0"/>
          <w:sz w:val="44"/>
          <w:szCs w:val="44"/>
          <w:shd w:val="clear" w:fill="FFFFFF"/>
          <w:lang w:val="en-US" w:eastAsia="zh-CN"/>
        </w:rPr>
      </w:pPr>
      <w:r>
        <w:rPr>
          <w:rFonts w:hint="eastAsia" w:asciiTheme="majorEastAsia" w:hAnsiTheme="majorEastAsia" w:eastAsiaTheme="majorEastAsia" w:cstheme="majorEastAsia"/>
          <w:b/>
          <w:bCs/>
          <w:i w:val="0"/>
          <w:caps w:val="0"/>
          <w:color w:val="191919"/>
          <w:spacing w:val="0"/>
          <w:sz w:val="44"/>
          <w:szCs w:val="44"/>
          <w:shd w:val="clear" w:fill="FFFFFF"/>
          <w:lang w:val="en-US" w:eastAsia="zh-CN"/>
        </w:rPr>
        <w:t>德钦县供销社召开学习会议，深入领会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right="0"/>
        <w:jc w:val="center"/>
        <w:textAlignment w:val="auto"/>
        <w:rPr>
          <w:rFonts w:hint="default" w:asciiTheme="majorEastAsia" w:hAnsiTheme="majorEastAsia" w:eastAsiaTheme="majorEastAsia" w:cstheme="majorEastAsia"/>
          <w:b/>
          <w:bCs/>
          <w:i w:val="0"/>
          <w:caps w:val="0"/>
          <w:color w:val="191919"/>
          <w:spacing w:val="0"/>
          <w:sz w:val="44"/>
          <w:szCs w:val="44"/>
          <w:shd w:val="clear" w:fill="FFFFFF"/>
          <w:lang w:val="en-US" w:eastAsia="zh-CN"/>
        </w:rPr>
      </w:pPr>
      <w:r>
        <w:rPr>
          <w:rFonts w:hint="eastAsia" w:asciiTheme="majorEastAsia" w:hAnsiTheme="majorEastAsia" w:eastAsiaTheme="majorEastAsia" w:cstheme="majorEastAsia"/>
          <w:b/>
          <w:bCs/>
          <w:i w:val="0"/>
          <w:caps w:val="0"/>
          <w:color w:val="191919"/>
          <w:spacing w:val="0"/>
          <w:sz w:val="44"/>
          <w:szCs w:val="44"/>
          <w:shd w:val="clear" w:fill="FFFFFF"/>
          <w:lang w:val="en-US" w:eastAsia="zh-CN"/>
        </w:rPr>
        <w:t>习近平总书记重要讲话精神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right="0" w:firstLine="640" w:firstLineChars="200"/>
        <w:jc w:val="left"/>
        <w:rPr>
          <w:rFonts w:hint="eastAsia" w:ascii="仿宋" w:hAnsi="仿宋" w:eastAsia="仿宋" w:cs="仿宋"/>
          <w:i w:val="0"/>
          <w:caps w:val="0"/>
          <w:color w:val="222222"/>
          <w:spacing w:val="0"/>
          <w:sz w:val="32"/>
          <w:szCs w:val="32"/>
        </w:rPr>
      </w:pPr>
      <w:r>
        <w:rPr>
          <w:rFonts w:hint="eastAsia" w:ascii="仿宋" w:hAnsi="仿宋" w:eastAsia="仿宋" w:cs="仿宋"/>
          <w:i w:val="0"/>
          <w:caps w:val="0"/>
          <w:color w:val="222222"/>
          <w:spacing w:val="0"/>
          <w:sz w:val="32"/>
          <w:szCs w:val="32"/>
          <w:lang w:val="en-US" w:eastAsia="zh-CN"/>
        </w:rPr>
        <w:t>3月3日下午</w:t>
      </w:r>
      <w:r>
        <w:rPr>
          <w:rFonts w:hint="eastAsia" w:ascii="仿宋" w:hAnsi="仿宋" w:eastAsia="仿宋" w:cs="仿宋"/>
          <w:i w:val="0"/>
          <w:caps w:val="0"/>
          <w:color w:val="222222"/>
          <w:spacing w:val="0"/>
          <w:sz w:val="32"/>
          <w:szCs w:val="32"/>
        </w:rPr>
        <w:t>，</w:t>
      </w:r>
      <w:r>
        <w:rPr>
          <w:rFonts w:hint="eastAsia" w:ascii="仿宋" w:hAnsi="仿宋" w:eastAsia="仿宋" w:cs="仿宋"/>
          <w:i w:val="0"/>
          <w:caps w:val="0"/>
          <w:color w:val="222222"/>
          <w:spacing w:val="0"/>
          <w:sz w:val="32"/>
          <w:szCs w:val="32"/>
          <w:lang w:val="en-US" w:eastAsia="zh-CN"/>
        </w:rPr>
        <w:t>德钦县供销社组织召开学习会议，</w:t>
      </w:r>
      <w:r>
        <w:rPr>
          <w:rFonts w:hint="eastAsia" w:ascii="仿宋" w:hAnsi="仿宋" w:eastAsia="仿宋" w:cs="仿宋"/>
          <w:i w:val="0"/>
          <w:caps w:val="0"/>
          <w:color w:val="222222"/>
          <w:spacing w:val="0"/>
          <w:sz w:val="32"/>
          <w:szCs w:val="32"/>
        </w:rPr>
        <w:t>传达学习习近平总书记在统筹推进新冠肺炎疫情防控和经济社会发展工作部署会议上的重要讲话精神。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right="0" w:firstLine="640" w:firstLineChars="200"/>
        <w:jc w:val="left"/>
        <w:rPr>
          <w:rFonts w:hint="eastAsia" w:ascii="仿宋" w:hAnsi="仿宋" w:eastAsia="仿宋" w:cs="仿宋"/>
          <w:i w:val="0"/>
          <w:caps w:val="0"/>
          <w:color w:val="222222"/>
          <w:spacing w:val="0"/>
          <w:sz w:val="32"/>
          <w:szCs w:val="32"/>
        </w:rPr>
      </w:pPr>
      <w:r>
        <w:rPr>
          <w:rFonts w:hint="eastAsia" w:ascii="仿宋" w:hAnsi="仿宋" w:eastAsia="仿宋" w:cs="仿宋"/>
          <w:i w:val="0"/>
          <w:caps w:val="0"/>
          <w:color w:val="333333"/>
          <w:spacing w:val="0"/>
          <w:sz w:val="32"/>
          <w:szCs w:val="32"/>
          <w:shd w:val="clear" w:fill="FFFFFF"/>
        </w:rPr>
        <w:t>会议指出，习近平总书记在统筹推进新冠肺炎疫情防控和经济社会发展工作部署会议的重要讲话，全面总结了疫情防控工作情况，深刻分析了疫情防控形势及对经济社会发展的影响，明确提出统筹推进疫情防控和经济社会发展工作的总体要求、重点任务、重大举措,具有很强的政治性、思想</w:t>
      </w:r>
      <w:r>
        <w:rPr>
          <w:rFonts w:hint="eastAsia" w:ascii="仿宋" w:hAnsi="仿宋" w:eastAsia="仿宋" w:cs="仿宋"/>
          <w:i w:val="0"/>
          <w:caps w:val="0"/>
          <w:color w:val="222222"/>
          <w:spacing w:val="0"/>
          <w:sz w:val="32"/>
          <w:szCs w:val="32"/>
        </w:rPr>
        <w:t>性、指导性、针对性和可操作性。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right="0" w:firstLine="640" w:firstLineChars="200"/>
        <w:jc w:val="left"/>
        <w:rPr>
          <w:rFonts w:hint="eastAsia" w:ascii="仿宋" w:hAnsi="仿宋" w:eastAsia="仿宋" w:cs="仿宋"/>
          <w:sz w:val="32"/>
          <w:szCs w:val="32"/>
        </w:rPr>
      </w:pPr>
      <w:r>
        <w:rPr>
          <w:rFonts w:hint="eastAsia" w:ascii="仿宋" w:hAnsi="仿宋" w:eastAsia="仿宋" w:cs="仿宋"/>
          <w:i w:val="0"/>
          <w:caps w:val="0"/>
          <w:color w:val="222222"/>
          <w:spacing w:val="0"/>
          <w:sz w:val="32"/>
          <w:szCs w:val="32"/>
          <w:lang w:val="en-US" w:eastAsia="zh-CN"/>
        </w:rPr>
        <w:t>会议要求，县社全体干部职工要吃透习近平总书记重要</w:t>
      </w:r>
      <w:r>
        <w:rPr>
          <w:rFonts w:hint="eastAsia" w:ascii="仿宋" w:hAnsi="仿宋" w:eastAsia="仿宋" w:cs="仿宋"/>
          <w:i w:val="0"/>
          <w:caps w:val="0"/>
          <w:color w:val="333333"/>
          <w:spacing w:val="0"/>
          <w:sz w:val="32"/>
          <w:szCs w:val="32"/>
          <w:shd w:val="clear" w:fill="FFFFFF"/>
          <w:lang w:val="en-US" w:eastAsia="zh-CN"/>
        </w:rPr>
        <w:t>讲话内容，</w:t>
      </w:r>
      <w:r>
        <w:rPr>
          <w:rFonts w:hint="eastAsia" w:ascii="仿宋" w:hAnsi="仿宋" w:eastAsia="仿宋" w:cs="仿宋"/>
          <w:i w:val="0"/>
          <w:caps w:val="0"/>
          <w:color w:val="333333"/>
          <w:spacing w:val="0"/>
          <w:sz w:val="32"/>
          <w:szCs w:val="32"/>
          <w:shd w:val="clear" w:fill="FFFFFF"/>
        </w:rPr>
        <w:t>从践行“两个维护”的高度深入学习领会，切实把思想和行动统一到习近平总书记重要讲话精神上来，结合</w:t>
      </w:r>
      <w:r>
        <w:rPr>
          <w:rFonts w:hint="eastAsia" w:ascii="仿宋" w:hAnsi="仿宋" w:eastAsia="仿宋" w:cs="仿宋"/>
          <w:i w:val="0"/>
          <w:caps w:val="0"/>
          <w:color w:val="333333"/>
          <w:spacing w:val="0"/>
          <w:sz w:val="32"/>
          <w:szCs w:val="32"/>
          <w:shd w:val="clear" w:fill="FFFFFF"/>
          <w:lang w:val="en-US" w:eastAsia="zh-CN"/>
        </w:rPr>
        <w:t>供销</w:t>
      </w:r>
      <w:r>
        <w:rPr>
          <w:rFonts w:hint="eastAsia" w:ascii="仿宋" w:hAnsi="仿宋" w:eastAsia="仿宋" w:cs="仿宋"/>
          <w:i w:val="0"/>
          <w:caps w:val="0"/>
          <w:color w:val="333333"/>
          <w:spacing w:val="0"/>
          <w:sz w:val="32"/>
          <w:szCs w:val="32"/>
          <w:shd w:val="clear" w:fill="FFFFFF"/>
        </w:rPr>
        <w:t>工作实际认真抓好贯彻落实。</w:t>
      </w:r>
      <w:bookmarkStart w:id="0" w:name="_GoBack"/>
      <w:bookmarkEnd w:id="0"/>
    </w:p>
    <w:p>
      <w:pPr>
        <w:ind w:firstLine="640" w:firstLineChars="200"/>
        <w:rPr>
          <w:rFonts w:hint="eastAsia" w:ascii="仿宋" w:hAnsi="仿宋" w:eastAsia="仿宋" w:cs="仿宋"/>
          <w:color w:val="262626" w:themeColor="text1" w:themeTint="D9"/>
          <w:sz w:val="32"/>
          <w:szCs w:val="32"/>
          <w:lang w:eastAsia="zh-CN"/>
          <w14:textFill>
            <w14:solidFill>
              <w14:schemeClr w14:val="tx1">
                <w14:lumMod w14:val="85000"/>
                <w14:lumOff w14:val="1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E4A81"/>
    <w:rsid w:val="011E4A81"/>
    <w:rsid w:val="1D0C54A6"/>
    <w:rsid w:val="24FA7ED8"/>
    <w:rsid w:val="3DB75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2020-02-11T07:19:00Z</dcterms:created>
  <dc:creator>Administrator</dc:creator>
  <cp:lastModifiedBy>Administrator</cp:lastModifiedBy>
  <dcterms:modified xsi:type="dcterms:W3CDTF">2020-03-03T07:56:05Z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