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drawing>
          <wp:anchor distT="0" distB="0" distL="114300" distR="114300" simplePos="0" relativeHeight="251659264" behindDoc="0" locked="0" layoutInCell="1" allowOverlap="1">
            <wp:simplePos x="0" y="0"/>
            <wp:positionH relativeFrom="column">
              <wp:posOffset>-106045</wp:posOffset>
            </wp:positionH>
            <wp:positionV relativeFrom="paragraph">
              <wp:posOffset>166370</wp:posOffset>
            </wp:positionV>
            <wp:extent cx="5518785" cy="1285240"/>
            <wp:effectExtent l="19050" t="0" r="5715" b="0"/>
            <wp:wrapNone/>
            <wp:docPr id="11" name="图片 11" descr="C:\Users\Administrator\Desktop\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21.jpg"/>
                    <pic:cNvPicPr>
                      <a:picLocks noChangeAspect="1" noChangeArrowheads="1"/>
                    </pic:cNvPicPr>
                  </pic:nvPicPr>
                  <pic:blipFill>
                    <a:blip r:embed="rId5" cstate="print"/>
                    <a:srcRect/>
                    <a:stretch>
                      <a:fillRect/>
                    </a:stretch>
                  </pic:blipFill>
                  <pic:spPr>
                    <a:xfrm>
                      <a:off x="0" y="0"/>
                      <a:ext cx="5518785" cy="1285240"/>
                    </a:xfrm>
                    <a:prstGeom prst="rect">
                      <a:avLst/>
                    </a:prstGeom>
                    <a:noFill/>
                    <a:ln w="9525">
                      <a:noFill/>
                      <a:miter lim="800000"/>
                      <a:headEnd/>
                      <a:tailEnd/>
                    </a:ln>
                  </pic:spPr>
                </pic:pic>
              </a:graphicData>
            </a:graphic>
          </wp:anchor>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德环</w:t>
      </w:r>
      <w:r>
        <w:rPr>
          <w:rFonts w:hint="eastAsia" w:ascii="仿宋_GB2312" w:hAnsi="仿宋_GB2312" w:eastAsia="仿宋_GB2312" w:cs="仿宋_GB2312"/>
          <w:sz w:val="36"/>
          <w:szCs w:val="36"/>
          <w:lang w:eastAsia="zh-CN"/>
        </w:rPr>
        <w:t>审</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2020</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 xml:space="preserve">8号                                                        </w:t>
      </w:r>
    </w:p>
    <w:p>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-78105</wp:posOffset>
                </wp:positionH>
                <wp:positionV relativeFrom="paragraph">
                  <wp:posOffset>184150</wp:posOffset>
                </wp:positionV>
                <wp:extent cx="5477510" cy="0"/>
                <wp:effectExtent l="0" t="15875" r="8890" b="22225"/>
                <wp:wrapNone/>
                <wp:docPr id="1" name="自选图形 7"/>
                <wp:cNvGraphicFramePr/>
                <a:graphic xmlns:a="http://schemas.openxmlformats.org/drawingml/2006/main">
                  <a:graphicData uri="http://schemas.microsoft.com/office/word/2010/wordprocessingShape">
                    <wps:wsp>
                      <wps:cNvCnPr/>
                      <wps:spPr>
                        <a:xfrm>
                          <a:off x="0" y="0"/>
                          <a:ext cx="5477510" cy="0"/>
                        </a:xfrm>
                        <a:prstGeom prst="straightConnector1">
                          <a:avLst/>
                        </a:prstGeom>
                        <a:ln w="31750" cap="flat" cmpd="sng">
                          <a:solidFill>
                            <a:srgbClr val="C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6.15pt;margin-top:14.5pt;height:0pt;width:431.3pt;z-index:251660288;mso-width-relative:page;mso-height-relative:page;" filled="f" stroked="t" coordsize="21600,21600" o:gfxdata="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zQBBtcAAAAJAQAADwAAAAAAAAABACAAAAAiAAAAZHJzL2Rvd25yZXYueG1sUEsB&#10;AhQAFAAAAAgAh07iQIvdZVf2AQAA5AMAAA4AAAAAAAAAAQAgAAAAJgEAAGRycy9lMm9Eb2MueG1s&#10;UEsFBgAAAAAGAAYAWQEAAI4FAAAAAA==&#10;">
                <v:fill on="f" focussize="0,0"/>
                <v:stroke weight="2.5pt" color="#C00000" joinstyle="round"/>
                <v:imagedata o:title=""/>
                <o:lock v:ext="edit" aspectratio="f"/>
              </v:shape>
            </w:pict>
          </mc:Fallback>
        </mc:AlternateContent>
      </w:r>
    </w:p>
    <w:p>
      <w:pPr>
        <w:rPr>
          <w:rFonts w:hint="eastAsia"/>
        </w:rPr>
      </w:pPr>
    </w:p>
    <w:p>
      <w:pPr>
        <w:keepNext w:val="0"/>
        <w:keepLines w:val="0"/>
        <w:pageBreakBefore w:val="0"/>
        <w:widowControl w:val="0"/>
        <w:kinsoku/>
        <w:wordWrap/>
        <w:overflowPunct/>
        <w:topLinePunct w:val="0"/>
        <w:autoSpaceDE/>
        <w:autoSpaceDN/>
        <w:bidi w:val="0"/>
        <w:adjustRightInd/>
        <w:snapToGrid w:val="0"/>
        <w:spacing w:line="600" w:lineRule="atLeast"/>
        <w:jc w:val="center"/>
        <w:textAlignment w:val="auto"/>
        <w:outlineLvl w:val="9"/>
        <w:rPr>
          <w:rFonts w:hint="eastAsia"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迪庆藏族自治州生态环境局德钦分局关于对《德钦县霞若乡污水处理设施建设项目环境影响报告表》（报批稿）的批复</w:t>
      </w:r>
    </w:p>
    <w:p>
      <w:pPr>
        <w:keepNext w:val="0"/>
        <w:keepLines w:val="0"/>
        <w:pageBreakBefore w:val="0"/>
        <w:widowControl w:val="0"/>
        <w:kinsoku/>
        <w:wordWrap/>
        <w:overflowPunct/>
        <w:topLinePunct w:val="0"/>
        <w:autoSpaceDE/>
        <w:autoSpaceDN/>
        <w:bidi w:val="0"/>
        <w:adjustRightInd/>
        <w:snapToGrid w:val="0"/>
        <w:spacing w:line="600" w:lineRule="atLeast"/>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德钦县住房和城乡建设局：</w:t>
      </w:r>
    </w:p>
    <w:p>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你单位报送的委托云南欧信科技有限公司编制的《德钦县霞若乡污水处理设施建设项目》（报批稿）和《关于对德钦县霞若乡污水处理建设项目环境影响报告表给予审批的请示》（德住建发〔2020〕141号）已收悉，</w:t>
      </w:r>
      <w:r>
        <w:rPr>
          <w:rFonts w:hint="eastAsia" w:ascii="仿宋_GB2312" w:hAnsi="仿宋_GB2312" w:eastAsia="仿宋_GB2312" w:cs="仿宋_GB2312"/>
          <w:sz w:val="32"/>
          <w:szCs w:val="32"/>
          <w:lang w:eastAsia="zh-CN"/>
        </w:rPr>
        <w:t>我局根据环境保护法律法规和环评审批的有关规定及程序，组织人员进行认真审查，现将具体事宜</w:t>
      </w:r>
      <w:r>
        <w:rPr>
          <w:rFonts w:hint="eastAsia" w:ascii="仿宋_GB2312" w:hAnsi="仿宋_GB2312" w:eastAsia="仿宋_GB2312" w:cs="仿宋_GB2312"/>
          <w:b w:val="0"/>
          <w:bCs w:val="0"/>
          <w:sz w:val="32"/>
          <w:szCs w:val="32"/>
          <w:lang w:val="en-US" w:eastAsia="zh-CN"/>
        </w:rPr>
        <w:t>批复如下：</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atLeas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一、项目基本情况。项目位于德钦县霞若乡，项目代码：2019-533422-94-01-030662,属于新建项目。项目建设内容为：本项目建设一座污水处理站（近期处理规模为60m</w:t>
      </w:r>
      <w:r>
        <w:rPr>
          <w:rFonts w:hint="eastAsia" w:ascii="仿宋_GB2312" w:hAnsi="仿宋_GB2312" w:eastAsia="仿宋_GB2312" w:cs="仿宋_GB2312"/>
          <w:b w:val="0"/>
          <w:bCs w:val="0"/>
          <w:sz w:val="32"/>
          <w:szCs w:val="32"/>
          <w:vertAlign w:val="superscript"/>
          <w:lang w:val="en-US" w:eastAsia="zh-CN"/>
        </w:rPr>
        <w:t>3</w:t>
      </w:r>
      <w:r>
        <w:rPr>
          <w:rFonts w:hint="eastAsia" w:ascii="仿宋_GB2312" w:hAnsi="仿宋_GB2312" w:eastAsia="仿宋_GB2312" w:cs="仿宋_GB2312"/>
          <w:b w:val="0"/>
          <w:bCs w:val="0"/>
          <w:sz w:val="32"/>
          <w:szCs w:val="32"/>
          <w:vertAlign w:val="baseline"/>
          <w:lang w:val="en-US" w:eastAsia="zh-CN"/>
        </w:rPr>
        <w:t>/d、远期处理规模为120</w:t>
      </w:r>
      <w:r>
        <w:rPr>
          <w:rFonts w:hint="eastAsia" w:ascii="仿宋_GB2312" w:hAnsi="仿宋_GB2312" w:eastAsia="仿宋_GB2312" w:cs="仿宋_GB2312"/>
          <w:b w:val="0"/>
          <w:bCs w:val="0"/>
          <w:sz w:val="32"/>
          <w:szCs w:val="32"/>
          <w:lang w:val="en-US" w:eastAsia="zh-CN"/>
        </w:rPr>
        <w:t>m</w:t>
      </w:r>
      <w:r>
        <w:rPr>
          <w:rFonts w:hint="eastAsia" w:ascii="仿宋_GB2312" w:hAnsi="仿宋_GB2312" w:eastAsia="仿宋_GB2312" w:cs="仿宋_GB2312"/>
          <w:b w:val="0"/>
          <w:bCs w:val="0"/>
          <w:sz w:val="32"/>
          <w:szCs w:val="32"/>
          <w:vertAlign w:val="superscript"/>
          <w:lang w:val="en-US" w:eastAsia="zh-CN"/>
        </w:rPr>
        <w:t>3</w:t>
      </w:r>
      <w:r>
        <w:rPr>
          <w:rFonts w:hint="eastAsia" w:ascii="仿宋_GB2312" w:hAnsi="仿宋_GB2312" w:eastAsia="仿宋_GB2312" w:cs="仿宋_GB2312"/>
          <w:b w:val="0"/>
          <w:bCs w:val="0"/>
          <w:sz w:val="32"/>
          <w:szCs w:val="32"/>
          <w:vertAlign w:val="baseline"/>
          <w:lang w:val="en-US" w:eastAsia="zh-CN"/>
        </w:rPr>
        <w:t>/d</w:t>
      </w:r>
      <w:r>
        <w:rPr>
          <w:rFonts w:hint="eastAsia" w:ascii="仿宋_GB2312" w:hAnsi="仿宋_GB2312" w:eastAsia="仿宋_GB2312" w:cs="仿宋_GB2312"/>
          <w:b w:val="0"/>
          <w:bCs w:val="0"/>
          <w:sz w:val="32"/>
          <w:szCs w:val="32"/>
          <w:lang w:val="en-US" w:eastAsia="zh-CN"/>
        </w:rPr>
        <w:t>），为环保工程，各池子容积按远期规模一次性建成。总用地面积287m</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仿宋_GB2312" w:eastAsia="仿宋_GB2312" w:cs="仿宋_GB2312"/>
          <w:b w:val="0"/>
          <w:bCs w:val="0"/>
          <w:sz w:val="32"/>
          <w:szCs w:val="32"/>
          <w:vertAlign w:val="baseline"/>
          <w:lang w:val="en-US" w:eastAsia="zh-CN"/>
        </w:rPr>
        <w:t>(0.43亩），总建筑面积207.45m</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仿宋_GB2312" w:eastAsia="仿宋_GB2312" w:cs="仿宋_GB2312"/>
          <w:b w:val="0"/>
          <w:bCs w:val="0"/>
          <w:sz w:val="32"/>
          <w:szCs w:val="32"/>
          <w:vertAlign w:val="baseline"/>
          <w:lang w:val="en-US" w:eastAsia="zh-CN"/>
        </w:rPr>
        <w:t>,绿化面积25.55m</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仿宋_GB2312" w:eastAsia="仿宋_GB2312" w:cs="仿宋_GB2312"/>
          <w:b w:val="0"/>
          <w:bCs w:val="0"/>
          <w:sz w:val="32"/>
          <w:szCs w:val="32"/>
          <w:vertAlign w:val="baseline"/>
          <w:lang w:val="en-US" w:eastAsia="zh-CN"/>
        </w:rPr>
        <w:t>,道路面积54m</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仿宋_GB2312" w:eastAsia="仿宋_GB2312" w:cs="仿宋_GB2312"/>
          <w:b w:val="0"/>
          <w:bCs w:val="0"/>
          <w:sz w:val="32"/>
          <w:szCs w:val="32"/>
          <w:vertAlign w:val="baseline"/>
          <w:lang w:val="en-US" w:eastAsia="zh-CN"/>
        </w:rPr>
        <w:t>,绿化率8.8%。</w:t>
      </w:r>
      <w:r>
        <w:rPr>
          <w:rFonts w:hint="eastAsia" w:ascii="仿宋_GB2312" w:hAnsi="仿宋_GB2312" w:eastAsia="仿宋_GB2312" w:cs="仿宋_GB2312"/>
          <w:b w:val="0"/>
          <w:bCs w:val="0"/>
          <w:sz w:val="32"/>
          <w:szCs w:val="32"/>
          <w:lang w:val="en-US" w:eastAsia="zh-CN"/>
        </w:rPr>
        <w:t>主体工程为污水处理站，人工湿地。辅助工程为控制间、风机过滤器房、污泥脱水间、污泥池。公用工程为道路、绿化、供电系统、供水系统、排水系统。环保工程为设置1个化粪池、1个中和池、排水管网、规范化排污口1个；再生水回用管网；污水处理工艺及设施；1套在线监测系统、3个垃圾收集桶、1套污泥处理系统、1个废油收集桶、2个废液收集桶、1间危废间（5m</w:t>
      </w:r>
      <w:r>
        <w:rPr>
          <w:rFonts w:hint="eastAsia" w:ascii="仿宋_GB2312" w:hAnsi="仿宋_GB2312" w:eastAsia="仿宋_GB2312" w:cs="仿宋_GB2312"/>
          <w:b w:val="0"/>
          <w:bCs w:val="0"/>
          <w:sz w:val="32"/>
          <w:szCs w:val="32"/>
          <w:vertAlign w:val="superscript"/>
          <w:lang w:val="en-US" w:eastAsia="zh-CN"/>
        </w:rPr>
        <w:t>3</w:t>
      </w:r>
      <w:r>
        <w:rPr>
          <w:rFonts w:hint="eastAsia" w:ascii="仿宋_GB2312" w:hAnsi="仿宋_GB2312" w:eastAsia="仿宋_GB2312" w:cs="仿宋_GB2312"/>
          <w:b w:val="0"/>
          <w:bCs w:val="0"/>
          <w:sz w:val="32"/>
          <w:szCs w:val="32"/>
          <w:lang w:val="en-US" w:eastAsia="zh-CN"/>
        </w:rPr>
        <w:t>），对一体化处理设备加盖进行密闭处理，污水站为地埋式，在各处理单元上方分别设置1.5m高的排气口。本项目属于环保工程，总投资269.47万元，其中环保投资269.47万元，占总投资100%。</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atLeast"/>
        <w:ind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场”设置情况为本项目所需的砂、石料从当地相关主管部门审批的具有合法开采手续的供应商购买，不新设砂石料场；不设置取土场；开挖产生的土石方委托资质单位清运至德钦县拖顶乡拖顶村弃土场，项目不设置弃渣场；项目使用的混凝土在施工现场设置小型混凝土搅拌机自行搅拌。</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atLeas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建设单位在全面落实环境影响报告表中提出的各项污染防治措施后，项目建设的不利影响可以得到减缓和控制。我局同意环境影响报告表中所列建设项目的性质、规模、地点、运行方式和拟采取的环境保护措施。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在项目环境管理中，</w:t>
      </w:r>
      <w:r>
        <w:rPr>
          <w:rFonts w:hint="eastAsia" w:ascii="仿宋" w:hAnsi="仿宋" w:eastAsia="仿宋" w:cs="仿宋"/>
          <w:sz w:val="32"/>
          <w:szCs w:val="32"/>
          <w:lang w:eastAsia="zh-CN"/>
        </w:rPr>
        <w:t>进一步优化设计方案</w:t>
      </w:r>
      <w:r>
        <w:rPr>
          <w:rFonts w:hint="eastAsia" w:ascii="仿宋_GB2312" w:eastAsia="仿宋_GB2312" w:hAnsiTheme="minorHAnsi" w:cstheme="minorBidi"/>
          <w:kern w:val="2"/>
          <w:sz w:val="32"/>
          <w:szCs w:val="22"/>
          <w:lang w:val="en-US" w:eastAsia="zh-CN" w:bidi="ar-SA"/>
        </w:rPr>
        <w:t>，</w:t>
      </w:r>
      <w:r>
        <w:rPr>
          <w:rFonts w:hint="eastAsia" w:ascii="仿宋_GB2312" w:eastAsia="仿宋_GB2312" w:cstheme="minorBidi"/>
          <w:kern w:val="2"/>
          <w:sz w:val="32"/>
          <w:szCs w:val="22"/>
          <w:lang w:val="en-US" w:eastAsia="zh-CN" w:bidi="ar-SA"/>
        </w:rPr>
        <w:t>高标准建设管理，</w:t>
      </w:r>
      <w:r>
        <w:rPr>
          <w:rFonts w:hint="eastAsia" w:ascii="仿宋_GB2312" w:eastAsia="仿宋_GB2312" w:hAnsiTheme="minorHAnsi" w:cstheme="minorBidi"/>
          <w:kern w:val="2"/>
          <w:sz w:val="32"/>
          <w:szCs w:val="22"/>
          <w:lang w:val="en-US" w:eastAsia="zh-CN" w:bidi="ar-SA"/>
        </w:rPr>
        <w:t>尽可能防止重复建设</w:t>
      </w:r>
      <w:r>
        <w:rPr>
          <w:rFonts w:hint="eastAsia" w:ascii="仿宋_GB2312" w:eastAsia="仿宋_GB2312" w:cstheme="minorBidi"/>
          <w:kern w:val="2"/>
          <w:sz w:val="32"/>
          <w:szCs w:val="22"/>
          <w:lang w:val="en-US" w:eastAsia="zh-CN" w:bidi="ar-SA"/>
        </w:rPr>
        <w:t>，</w:t>
      </w:r>
      <w:r>
        <w:rPr>
          <w:rFonts w:hint="eastAsia" w:ascii="仿宋" w:hAnsi="仿宋" w:eastAsia="仿宋" w:cs="仿宋"/>
          <w:sz w:val="32"/>
          <w:szCs w:val="32"/>
          <w:lang w:eastAsia="zh-CN"/>
        </w:rPr>
        <w:t>同时</w:t>
      </w:r>
      <w:r>
        <w:rPr>
          <w:rFonts w:hint="eastAsia" w:ascii="仿宋" w:hAnsi="仿宋" w:eastAsia="仿宋" w:cs="仿宋"/>
          <w:sz w:val="32"/>
          <w:szCs w:val="32"/>
        </w:rPr>
        <w:t>必须逐项落实《报告表》中提出的环保</w:t>
      </w:r>
      <w:r>
        <w:rPr>
          <w:rFonts w:hint="eastAsia" w:ascii="仿宋" w:hAnsi="仿宋" w:eastAsia="仿宋" w:cs="仿宋"/>
          <w:sz w:val="32"/>
          <w:szCs w:val="32"/>
          <w:lang w:eastAsia="zh-CN"/>
        </w:rPr>
        <w:t>措施</w:t>
      </w:r>
      <w:r>
        <w:rPr>
          <w:rFonts w:hint="eastAsia" w:ascii="仿宋" w:hAnsi="仿宋" w:eastAsia="仿宋" w:cs="仿宋"/>
          <w:sz w:val="32"/>
          <w:szCs w:val="32"/>
        </w:rPr>
        <w:t>，在项目建设及运营过程中重点做好以下工作：</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atLeast"/>
        <w:ind w:lef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建设单位应当加强对施工单位的管理，提出明确要求，督促施工单位采取有效措施减少施工过程中产生的废水、废气、固废、地面扬尘、建筑粉尘、建筑垃圾、施工机械尾气及噪声等对周围环境、大气环境的影响，并且建立切实有效的监督机制与施工单位明确责任，专人负责有效监督。</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atLeast"/>
        <w:ind w:lef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噪声：严格按照施工噪声管理的有关规定，科学合理地安排施工步骤、合理安排施工工序、优化施工方式。施工期间，</w:t>
      </w:r>
      <w:r>
        <w:rPr>
          <w:rFonts w:hint="default" w:ascii="仿宋_GB2312" w:hAnsi="仿宋_GB2312" w:eastAsia="仿宋_GB2312" w:cs="仿宋_GB2312"/>
          <w:b w:val="0"/>
          <w:bCs w:val="0"/>
          <w:sz w:val="32"/>
          <w:szCs w:val="32"/>
          <w:lang w:val="en-US" w:eastAsia="zh-CN"/>
        </w:rPr>
        <w:t>合理安排施工时间</w:t>
      </w:r>
      <w:r>
        <w:rPr>
          <w:rFonts w:hint="eastAsia" w:ascii="仿宋_GB2312" w:hAnsi="仿宋_GB2312" w:eastAsia="仿宋_GB2312" w:cs="仿宋_GB2312"/>
          <w:b w:val="0"/>
          <w:bCs w:val="0"/>
          <w:sz w:val="32"/>
          <w:szCs w:val="32"/>
          <w:lang w:val="en-US" w:eastAsia="zh-CN"/>
        </w:rPr>
        <w:t>，禁止在夜间22：00～6:00施工作业，</w:t>
      </w:r>
      <w:r>
        <w:rPr>
          <w:rFonts w:hint="default" w:ascii="仿宋_GB2312" w:hAnsi="仿宋_GB2312" w:eastAsia="仿宋_GB2312" w:cs="仿宋_GB2312"/>
          <w:b w:val="0"/>
          <w:bCs w:val="0"/>
          <w:sz w:val="32"/>
          <w:szCs w:val="32"/>
          <w:lang w:val="en-US" w:eastAsia="zh-CN"/>
        </w:rPr>
        <w:t>项目不得进行高噪声施工，因</w:t>
      </w:r>
      <w:r>
        <w:rPr>
          <w:rFonts w:hint="eastAsia" w:ascii="仿宋_GB2312" w:hAnsi="仿宋_GB2312" w:eastAsia="仿宋_GB2312" w:cs="仿宋_GB2312"/>
          <w:b w:val="0"/>
          <w:bCs w:val="0"/>
          <w:sz w:val="32"/>
          <w:szCs w:val="32"/>
          <w:lang w:val="en-US" w:eastAsia="zh-CN"/>
        </w:rPr>
        <w:t>混凝土浇筑</w:t>
      </w:r>
      <w:r>
        <w:rPr>
          <w:rFonts w:hint="default" w:ascii="仿宋_GB2312" w:hAnsi="仿宋_GB2312" w:eastAsia="仿宋_GB2312" w:cs="仿宋_GB2312"/>
          <w:b w:val="0"/>
          <w:bCs w:val="0"/>
          <w:sz w:val="32"/>
          <w:szCs w:val="32"/>
          <w:lang w:val="en-US" w:eastAsia="zh-CN"/>
        </w:rPr>
        <w:t>需连夜施工时，业主需向环保管理部门申请，并告示周边居民。</w:t>
      </w:r>
      <w:r>
        <w:rPr>
          <w:rFonts w:hint="default" w:ascii="仿宋_GB2312" w:hAnsi="仿宋_GB2312" w:eastAsia="仿宋_GB2312" w:cs="仿宋_GB2312"/>
          <w:b w:val="0"/>
          <w:bCs w:val="0"/>
          <w:sz w:val="32"/>
          <w:szCs w:val="32"/>
          <w:lang w:val="zh-CN" w:eastAsia="zh-CN"/>
        </w:rPr>
        <w:t>本项目紧邻敏感点两侧设置不低于2.5m围挡</w:t>
      </w:r>
      <w:r>
        <w:rPr>
          <w:rFonts w:hint="default"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zh-CN" w:eastAsia="zh-CN"/>
        </w:rPr>
        <w:t>围挡</w:t>
      </w:r>
      <w:r>
        <w:rPr>
          <w:rFonts w:hint="default" w:ascii="仿宋_GB2312" w:hAnsi="仿宋_GB2312" w:eastAsia="仿宋_GB2312" w:cs="仿宋_GB2312"/>
          <w:b w:val="0"/>
          <w:bCs w:val="0"/>
          <w:sz w:val="32"/>
          <w:szCs w:val="32"/>
          <w:lang w:val="en-US" w:eastAsia="zh-CN"/>
        </w:rPr>
        <w:t>应用标准板材或砖砌筑。选用低噪设备，并定期维护，对于高噪设备或部件应采取隔声、消声、减震等措施。合理安排各类施工机械的工作时间，尽量避免高噪声源同时工作，避免噪声产生叠加。制定合理的运输线路，建材及渣土运输经过敏感区时缓慢通行，禁止鸣笛，减小建筑材料及渣土运输对沿线敏感目标的影响。</w:t>
      </w:r>
      <w:r>
        <w:rPr>
          <w:rFonts w:hint="eastAsia" w:ascii="仿宋_GB2312" w:hAnsi="仿宋_GB2312" w:eastAsia="仿宋_GB2312" w:cs="仿宋_GB2312"/>
          <w:b w:val="0"/>
          <w:bCs w:val="0"/>
          <w:sz w:val="32"/>
          <w:szCs w:val="32"/>
          <w:lang w:val="en-US" w:eastAsia="zh-CN"/>
        </w:rPr>
        <w:t>运营期间</w:t>
      </w:r>
      <w:r>
        <w:rPr>
          <w:rFonts w:hint="default" w:ascii="仿宋_GB2312" w:hAnsi="仿宋_GB2312" w:eastAsia="仿宋_GB2312" w:cs="仿宋_GB2312"/>
          <w:b w:val="0"/>
          <w:bCs w:val="0"/>
          <w:sz w:val="32"/>
          <w:szCs w:val="32"/>
          <w:lang w:val="en-US" w:eastAsia="zh-CN"/>
        </w:rPr>
        <w:t>选用噪声小、振动小的设备。设计中对振动较大的设备，安装时均设置减震垫。</w:t>
      </w:r>
      <w:r>
        <w:rPr>
          <w:rFonts w:hint="eastAsia" w:ascii="仿宋_GB2312" w:hAnsi="仿宋_GB2312" w:eastAsia="仿宋_GB2312" w:cs="仿宋_GB2312"/>
          <w:b w:val="0"/>
          <w:bCs w:val="0"/>
          <w:sz w:val="32"/>
          <w:szCs w:val="32"/>
          <w:lang w:val="en-US" w:eastAsia="zh-CN"/>
        </w:rPr>
        <w:t>执行</w:t>
      </w:r>
      <w:r>
        <w:rPr>
          <w:rFonts w:hint="default" w:ascii="仿宋_GB2312" w:hAnsi="仿宋_GB2312" w:eastAsia="仿宋_GB2312" w:cs="仿宋_GB2312"/>
          <w:b w:val="0"/>
          <w:bCs w:val="0"/>
          <w:sz w:val="32"/>
          <w:szCs w:val="32"/>
          <w:lang w:val="en-US" w:eastAsia="zh-CN"/>
        </w:rPr>
        <w:t>《工业企业厂界环境噪声排放标准》（GB12348-2008）2类标准</w:t>
      </w:r>
      <w:r>
        <w:rPr>
          <w:rFonts w:hint="eastAsia" w:ascii="仿宋_GB2312" w:hAnsi="仿宋_GB2312" w:eastAsia="仿宋_GB2312" w:cs="仿宋_GB2312"/>
          <w:b w:val="0"/>
          <w:bCs w:val="0"/>
          <w:sz w:val="32"/>
          <w:szCs w:val="32"/>
          <w:lang w:val="en-US" w:eastAsia="zh-CN"/>
        </w:rPr>
        <w:t>。</w:t>
      </w:r>
      <w:r>
        <w:rPr>
          <w:rFonts w:hint="eastAsia" w:ascii="宋体" w:hAnsi="宋体" w:eastAsia="宋体" w:cs="宋体"/>
          <w:b w:val="0"/>
          <w:i w:val="0"/>
          <w:caps w:val="0"/>
          <w:color w:val="333333"/>
          <w:spacing w:val="0"/>
          <w:sz w:val="24"/>
          <w:szCs w:val="24"/>
          <w:u w:val="none"/>
        </w:rPr>
        <w:t> </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atLeast"/>
        <w:ind w:lef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废气：建设期再生水</w:t>
      </w:r>
      <w:r>
        <w:rPr>
          <w:rFonts w:hint="default" w:ascii="仿宋_GB2312" w:hAnsi="仿宋_GB2312" w:eastAsia="仿宋_GB2312" w:cs="仿宋_GB2312"/>
          <w:b w:val="0"/>
          <w:bCs w:val="0"/>
          <w:sz w:val="32"/>
          <w:szCs w:val="32"/>
          <w:lang w:val="en-US" w:eastAsia="zh-CN"/>
        </w:rPr>
        <w:t>管网开挖等应避开大风天气，并对施工现场定期洒水</w:t>
      </w:r>
      <w:r>
        <w:rPr>
          <w:rFonts w:hint="default" w:ascii="仿宋_GB2312" w:hAnsi="仿宋_GB2312" w:eastAsia="仿宋_GB2312" w:cs="仿宋_GB2312"/>
          <w:b w:val="0"/>
          <w:bCs w:val="0"/>
          <w:sz w:val="32"/>
          <w:szCs w:val="32"/>
          <w:lang w:val="zh-CN" w:eastAsia="zh-CN"/>
        </w:rPr>
        <w:t>，</w:t>
      </w:r>
      <w:r>
        <w:rPr>
          <w:rFonts w:hint="default" w:ascii="仿宋_GB2312" w:hAnsi="仿宋_GB2312" w:eastAsia="仿宋_GB2312" w:cs="仿宋_GB2312"/>
          <w:b w:val="0"/>
          <w:bCs w:val="0"/>
          <w:sz w:val="32"/>
          <w:szCs w:val="32"/>
          <w:lang w:val="en-US" w:eastAsia="zh-CN"/>
        </w:rPr>
        <w:t>减少扬尘对周边敏感点的影响。施工道路及场地采取洒水降尘措施，旱季加大洒水降尘的频次。</w:t>
      </w:r>
      <w:r>
        <w:rPr>
          <w:rFonts w:hint="default" w:ascii="仿宋_GB2312" w:hAnsi="仿宋_GB2312" w:eastAsia="仿宋_GB2312" w:cs="仿宋_GB2312"/>
          <w:b w:val="0"/>
          <w:bCs w:val="0"/>
          <w:sz w:val="32"/>
          <w:szCs w:val="32"/>
          <w:lang w:val="zh-CN" w:eastAsia="zh-CN"/>
        </w:rPr>
        <w:t>施工场地定期进行清扫、出入口铺设钢板或垫草席等措施，保持车辆出入口路面清洁、湿润，以减少汽车轮胎与路面接触而引起的地面扬尘污染，并尽量减缓行驶车速。施工车辆及运输车辆在驶出施工区之前，需对轮胎进行清洗，不得将泥土带出工地。</w:t>
      </w:r>
      <w:r>
        <w:rPr>
          <w:rFonts w:hint="default" w:ascii="仿宋_GB2312" w:hAnsi="仿宋_GB2312" w:eastAsia="仿宋_GB2312" w:cs="仿宋_GB2312"/>
          <w:b w:val="0"/>
          <w:bCs w:val="0"/>
          <w:sz w:val="32"/>
          <w:szCs w:val="32"/>
          <w:lang w:val="en-US" w:eastAsia="zh-CN"/>
        </w:rPr>
        <w:t>施工车辆进出口处设置1座车辆清洗池（容积10m</w:t>
      </w:r>
      <w:r>
        <w:rPr>
          <w:rFonts w:hint="default" w:ascii="仿宋_GB2312" w:hAnsi="仿宋_GB2312" w:eastAsia="仿宋_GB2312" w:cs="仿宋_GB2312"/>
          <w:b w:val="0"/>
          <w:bCs w:val="0"/>
          <w:sz w:val="32"/>
          <w:szCs w:val="32"/>
          <w:vertAlign w:val="superscript"/>
          <w:lang w:val="en-US" w:eastAsia="zh-CN"/>
        </w:rPr>
        <w:t>3</w:t>
      </w:r>
      <w:r>
        <w:rPr>
          <w:rFonts w:hint="default" w:ascii="仿宋_GB2312" w:hAnsi="仿宋_GB2312" w:eastAsia="仿宋_GB2312" w:cs="仿宋_GB2312"/>
          <w:b w:val="0"/>
          <w:bCs w:val="0"/>
          <w:sz w:val="32"/>
          <w:szCs w:val="32"/>
          <w:lang w:val="en-US" w:eastAsia="zh-CN"/>
        </w:rPr>
        <w:t>/个）。</w:t>
      </w:r>
      <w:r>
        <w:rPr>
          <w:rFonts w:hint="default" w:ascii="仿宋_GB2312" w:hAnsi="仿宋_GB2312" w:eastAsia="仿宋_GB2312" w:cs="仿宋_GB2312"/>
          <w:b w:val="0"/>
          <w:bCs w:val="0"/>
          <w:sz w:val="32"/>
          <w:szCs w:val="32"/>
          <w:lang w:val="zh-CN" w:eastAsia="zh-CN"/>
        </w:rPr>
        <w:t>邻敏感点两侧设置不低于2.5m围挡。运输散体材料、弃土等的车辆装载高度应低于</w:t>
      </w:r>
      <w:r>
        <w:rPr>
          <w:rFonts w:hint="eastAsia" w:ascii="仿宋_GB2312" w:hAnsi="仿宋_GB2312" w:eastAsia="仿宋_GB2312" w:cs="仿宋_GB2312"/>
          <w:b w:val="0"/>
          <w:bCs w:val="0"/>
          <w:sz w:val="32"/>
          <w:szCs w:val="32"/>
          <w:lang w:val="zh-CN" w:eastAsia="zh-CN"/>
        </w:rPr>
        <w:t>车厢</w:t>
      </w:r>
      <w:r>
        <w:rPr>
          <w:rFonts w:hint="default" w:ascii="仿宋_GB2312" w:hAnsi="仿宋_GB2312" w:eastAsia="仿宋_GB2312" w:cs="仿宋_GB2312"/>
          <w:b w:val="0"/>
          <w:bCs w:val="0"/>
          <w:sz w:val="32"/>
          <w:szCs w:val="32"/>
          <w:lang w:val="zh-CN" w:eastAsia="zh-CN"/>
        </w:rPr>
        <w:t>上沿，不得超高超载，实行篷布遮盖，进行封闭运输，以免车辆颠簸撒漏。选用燃料充分燃烧的施工机械，减少施工过程中设备尾气污染物的排放。</w:t>
      </w:r>
      <w:r>
        <w:rPr>
          <w:rFonts w:hint="default" w:ascii="仿宋_GB2312" w:hAnsi="仿宋_GB2312" w:eastAsia="仿宋_GB2312" w:cs="仿宋_GB2312"/>
          <w:b w:val="0"/>
          <w:bCs w:val="0"/>
          <w:sz w:val="32"/>
          <w:szCs w:val="32"/>
          <w:lang w:val="en-US" w:eastAsia="zh-CN"/>
        </w:rPr>
        <w:t>项目使用商品混凝土，不得在场地内碎石、碎砂、筛分和搅拌混凝土。</w:t>
      </w:r>
      <w:r>
        <w:rPr>
          <w:rFonts w:hint="default" w:ascii="仿宋_GB2312" w:hAnsi="仿宋_GB2312" w:eastAsia="仿宋_GB2312" w:cs="仿宋_GB2312"/>
          <w:b w:val="0"/>
          <w:bCs w:val="0"/>
          <w:sz w:val="32"/>
          <w:szCs w:val="32"/>
          <w:lang w:val="zh-CN" w:eastAsia="zh-CN"/>
        </w:rPr>
        <w:t>进行分段施工，避免大面积开挖，开挖产生的土石方应采取遮盖措施并及时回填，多余废土石应及时清运，尽量缩短在施工场地的堆放时间。</w:t>
      </w:r>
      <w:r>
        <w:rPr>
          <w:rFonts w:hint="eastAsia" w:ascii="仿宋_GB2312" w:hAnsi="仿宋_GB2312" w:eastAsia="仿宋_GB2312" w:cs="仿宋_GB2312"/>
          <w:b w:val="0"/>
          <w:bCs w:val="0"/>
          <w:sz w:val="32"/>
          <w:szCs w:val="32"/>
          <w:lang w:val="zh-CN" w:eastAsia="zh-CN"/>
        </w:rPr>
        <w:t>运营期的环境影响措施</w:t>
      </w:r>
      <w:r>
        <w:rPr>
          <w:rFonts w:hint="default" w:ascii="仿宋_GB2312" w:hAnsi="仿宋_GB2312" w:eastAsia="仿宋_GB2312" w:cs="仿宋_GB2312"/>
          <w:b w:val="0"/>
          <w:bCs w:val="0"/>
          <w:sz w:val="32"/>
          <w:szCs w:val="32"/>
          <w:lang w:val="zh-CN" w:eastAsia="zh-CN"/>
        </w:rPr>
        <w:t>一体化设备加盖进行密闭处理。设置</w:t>
      </w:r>
      <w:r>
        <w:rPr>
          <w:rFonts w:hint="eastAsia" w:ascii="仿宋_GB2312" w:hAnsi="仿宋_GB2312" w:eastAsia="仿宋_GB2312" w:cs="仿宋_GB2312"/>
          <w:b w:val="0"/>
          <w:bCs w:val="0"/>
          <w:sz w:val="32"/>
          <w:szCs w:val="32"/>
          <w:lang w:val="zh-CN" w:eastAsia="zh-CN"/>
        </w:rPr>
        <w:t>25.5</w:t>
      </w:r>
      <w:r>
        <w:rPr>
          <w:rFonts w:hint="default" w:ascii="仿宋_GB2312" w:hAnsi="仿宋_GB2312" w:eastAsia="仿宋_GB2312" w:cs="仿宋_GB2312"/>
          <w:b w:val="0"/>
          <w:bCs w:val="0"/>
          <w:sz w:val="32"/>
          <w:szCs w:val="32"/>
          <w:lang w:val="zh-CN" w:eastAsia="zh-CN"/>
        </w:rPr>
        <w:t>m</w:t>
      </w:r>
      <w:r>
        <w:rPr>
          <w:rFonts w:hint="default" w:ascii="仿宋_GB2312" w:hAnsi="仿宋_GB2312" w:eastAsia="仿宋_GB2312" w:cs="仿宋_GB2312"/>
          <w:b w:val="0"/>
          <w:bCs w:val="0"/>
          <w:sz w:val="32"/>
          <w:szCs w:val="32"/>
          <w:vertAlign w:val="superscript"/>
          <w:lang w:val="zh-CN" w:eastAsia="zh-CN"/>
        </w:rPr>
        <w:t>2</w:t>
      </w:r>
      <w:r>
        <w:rPr>
          <w:rFonts w:hint="default" w:ascii="仿宋_GB2312" w:hAnsi="仿宋_GB2312" w:eastAsia="仿宋_GB2312" w:cs="仿宋_GB2312"/>
          <w:b w:val="0"/>
          <w:bCs w:val="0"/>
          <w:sz w:val="32"/>
          <w:szCs w:val="32"/>
          <w:lang w:val="zh-CN" w:eastAsia="zh-CN"/>
        </w:rPr>
        <w:t>绿化。</w:t>
      </w:r>
      <w:r>
        <w:rPr>
          <w:rFonts w:hint="eastAsia" w:ascii="仿宋_GB2312" w:hAnsi="仿宋_GB2312" w:eastAsia="仿宋_GB2312" w:cs="仿宋_GB2312"/>
          <w:b w:val="0"/>
          <w:bCs w:val="0"/>
          <w:sz w:val="32"/>
          <w:szCs w:val="32"/>
          <w:lang w:val="en-US" w:eastAsia="zh-CN"/>
        </w:rPr>
        <w:t>污水站为地埋式，在各处理单元上方分别设置1.5m高的排气口，用于恶臭气体的排放。</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atLeast"/>
        <w:ind w:lef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废水：项目建设期做好水污染防治工作通过</w:t>
      </w:r>
      <w:r>
        <w:rPr>
          <w:rFonts w:hint="default" w:ascii="仿宋_GB2312" w:hAnsi="仿宋_GB2312" w:eastAsia="仿宋_GB2312" w:cs="仿宋_GB2312"/>
          <w:b w:val="0"/>
          <w:bCs w:val="0"/>
          <w:sz w:val="32"/>
          <w:szCs w:val="32"/>
          <w:lang w:val="en-US" w:eastAsia="zh-CN"/>
        </w:rPr>
        <w:t xml:space="preserve">设置三级沉砂池处理地表径流，经三级沉砂池沉淀后回用于施工或场地洒水降尘，回用不完部分外排项目周边排水沟，定期对三级沉砂池清掏处理。 设置沉淀池处理施工废水和施工生活污水，施工废水和施工生活污水经沉淀处理后回用于施工或场地洒水降尘，废水不外排；定期对沉淀池清掏处理。 </w:t>
      </w:r>
      <w:r>
        <w:rPr>
          <w:rFonts w:hint="eastAsia" w:ascii="仿宋_GB2312" w:hAnsi="仿宋_GB2312" w:eastAsia="仿宋_GB2312" w:cs="仿宋_GB2312"/>
          <w:b w:val="0"/>
          <w:bCs w:val="0"/>
          <w:sz w:val="32"/>
          <w:szCs w:val="32"/>
          <w:lang w:val="en-US" w:eastAsia="zh-CN"/>
        </w:rPr>
        <w:t>运营期的水污染措施，设置1个化粪池（处理生活污水、容积为2m</w:t>
      </w:r>
      <w:r>
        <w:rPr>
          <w:rFonts w:hint="eastAsia" w:ascii="仿宋_GB2312" w:hAnsi="仿宋_GB2312" w:eastAsia="仿宋_GB2312" w:cs="仿宋_GB2312"/>
          <w:b w:val="0"/>
          <w:bCs w:val="0"/>
          <w:sz w:val="32"/>
          <w:szCs w:val="32"/>
          <w:vertAlign w:val="superscript"/>
          <w:lang w:val="en-US" w:eastAsia="zh-CN"/>
        </w:rPr>
        <w:t>3</w:t>
      </w:r>
      <w:r>
        <w:rPr>
          <w:rFonts w:hint="eastAsia" w:ascii="仿宋_GB2312" w:hAnsi="仿宋_GB2312" w:eastAsia="仿宋_GB2312" w:cs="仿宋_GB2312"/>
          <w:b w:val="0"/>
          <w:bCs w:val="0"/>
          <w:sz w:val="32"/>
          <w:szCs w:val="32"/>
          <w:lang w:val="en-US" w:eastAsia="zh-CN"/>
        </w:rPr>
        <w:t>）、1个中和池（处理化验废水、容积为0.5m</w:t>
      </w:r>
      <w:r>
        <w:rPr>
          <w:rFonts w:hint="eastAsia" w:ascii="仿宋_GB2312" w:hAnsi="仿宋_GB2312" w:eastAsia="仿宋_GB2312" w:cs="仿宋_GB2312"/>
          <w:b w:val="0"/>
          <w:bCs w:val="0"/>
          <w:sz w:val="32"/>
          <w:szCs w:val="32"/>
          <w:vertAlign w:val="superscript"/>
          <w:lang w:val="en-US" w:eastAsia="zh-CN"/>
        </w:rPr>
        <w:t>3</w:t>
      </w:r>
      <w:r>
        <w:rPr>
          <w:rFonts w:hint="eastAsia" w:ascii="仿宋_GB2312" w:hAnsi="仿宋_GB2312" w:eastAsia="仿宋_GB2312" w:cs="仿宋_GB2312"/>
          <w:b w:val="0"/>
          <w:bCs w:val="0"/>
          <w:sz w:val="32"/>
          <w:szCs w:val="32"/>
          <w:lang w:val="en-US" w:eastAsia="zh-CN"/>
        </w:rPr>
        <w:t>）。化粪池、中和池和蓄水池要进行防渗处理，且要定期对化粪池等进行清掏。定期检修污水收集和排水管网，避免管道堵塞或是破裂造成溢流。站区内的生活污水和生产废水均进入污水处理系统进行处理，不直接外排。加强管理、及时检修各污水处理设备。接纳霞若乡集镇中心片区医院医疗废水出水氨氮、总磷需达到《污水排入城镇下水道水质标准》（GB/T31962-2015）表1中A等级标准，其余指标需达到</w:t>
      </w:r>
      <w:bookmarkStart w:id="0" w:name="_GoBack"/>
      <w:bookmarkEnd w:id="0"/>
      <w:r>
        <w:rPr>
          <w:rFonts w:hint="eastAsia" w:ascii="仿宋_GB2312" w:hAnsi="仿宋_GB2312" w:eastAsia="仿宋_GB2312" w:cs="仿宋_GB2312"/>
          <w:b w:val="0"/>
          <w:bCs w:val="0"/>
          <w:sz w:val="32"/>
          <w:szCs w:val="32"/>
          <w:lang w:val="en-US" w:eastAsia="zh-CN"/>
        </w:rPr>
        <w:t>《医疗机构水污染物排放标准》（GB18466-2005）表2中预处</w:t>
      </w:r>
      <w:r>
        <w:rPr>
          <w:rFonts w:hint="eastAsia" w:ascii="仿宋_GB2312" w:hAnsi="仿宋_GB2312" w:eastAsia="仿宋_GB2312" w:cs="仿宋_GB2312"/>
          <w:b w:val="0"/>
          <w:bCs w:val="0"/>
          <w:kern w:val="2"/>
          <w:sz w:val="32"/>
          <w:szCs w:val="32"/>
          <w:lang w:val="en-US" w:eastAsia="zh-CN" w:bidi="ar-SA"/>
        </w:rPr>
        <w:t>理标准。不接纳霞若乡工业企业废水、修理厂废水。</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atLeast"/>
        <w:ind w:lef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固体废物：施工期开挖的</w:t>
      </w:r>
      <w:r>
        <w:rPr>
          <w:rFonts w:hint="default" w:ascii="仿宋_GB2312" w:hAnsi="仿宋_GB2312" w:eastAsia="仿宋_GB2312" w:cs="仿宋_GB2312"/>
          <w:b w:val="0"/>
          <w:bCs w:val="0"/>
          <w:sz w:val="32"/>
          <w:szCs w:val="32"/>
          <w:lang w:val="en-US" w:eastAsia="zh-CN"/>
        </w:rPr>
        <w:t>土石方弃方委托有资质单位清运处置，对施工垃圾分类集中堆存、回收利用，不能利用的清运至城建部门指定地方妥善处理，生活垃圾委托环卫部门清运处置。</w:t>
      </w:r>
      <w:r>
        <w:rPr>
          <w:rFonts w:hint="eastAsia" w:ascii="仿宋_GB2312" w:hAnsi="仿宋_GB2312" w:eastAsia="仿宋_GB2312" w:cs="仿宋_GB2312"/>
          <w:b w:val="0"/>
          <w:bCs w:val="0"/>
          <w:sz w:val="32"/>
          <w:szCs w:val="32"/>
          <w:lang w:val="en-US" w:eastAsia="zh-CN"/>
        </w:rPr>
        <w:t>运营期污染防治措施，</w:t>
      </w:r>
      <w:r>
        <w:rPr>
          <w:rFonts w:hint="eastAsia" w:ascii="仿宋_GB2312" w:hAnsi="仿宋_GB2312" w:eastAsia="仿宋_GB2312" w:cs="仿宋_GB2312"/>
          <w:b w:val="0"/>
          <w:bCs w:val="0"/>
          <w:sz w:val="32"/>
          <w:szCs w:val="32"/>
          <w:lang w:val="zh-CN" w:eastAsia="zh-CN"/>
        </w:rPr>
        <w:t>设置垃圾收集桶，污泥处理系统。设置规范的危废间以及</w:t>
      </w:r>
      <w:r>
        <w:rPr>
          <w:rFonts w:hint="eastAsia" w:ascii="仿宋_GB2312" w:hAnsi="仿宋_GB2312" w:eastAsia="仿宋_GB2312" w:cs="仿宋_GB2312"/>
          <w:b w:val="0"/>
          <w:bCs w:val="0"/>
          <w:sz w:val="32"/>
          <w:szCs w:val="32"/>
          <w:lang w:val="en-US" w:eastAsia="zh-CN"/>
        </w:rPr>
        <w:t>废油收集桶、</w:t>
      </w:r>
      <w:r>
        <w:rPr>
          <w:rFonts w:hint="eastAsia" w:ascii="仿宋_GB2312" w:hAnsi="仿宋_GB2312" w:eastAsia="仿宋_GB2312" w:cs="仿宋_GB2312"/>
          <w:b w:val="0"/>
          <w:bCs w:val="0"/>
          <w:sz w:val="32"/>
          <w:szCs w:val="32"/>
          <w:lang w:val="zh-CN" w:eastAsia="zh-CN"/>
        </w:rPr>
        <w:t>废液收集桶。</w:t>
      </w:r>
      <w:r>
        <w:rPr>
          <w:rFonts w:hint="eastAsia" w:ascii="仿宋_GB2312" w:hAnsi="仿宋_GB2312" w:eastAsia="仿宋_GB2312" w:cs="仿宋_GB2312"/>
          <w:b w:val="0"/>
          <w:bCs w:val="0"/>
          <w:sz w:val="32"/>
          <w:szCs w:val="32"/>
          <w:lang w:val="en-US" w:eastAsia="zh-CN"/>
        </w:rPr>
        <w:t>委托有资质的危废处理单位进行清运处置。</w:t>
      </w:r>
      <w:r>
        <w:rPr>
          <w:rFonts w:hint="eastAsia" w:ascii="仿宋_GB2312" w:hAnsi="仿宋_GB2312" w:eastAsia="仿宋_GB2312" w:cs="仿宋_GB2312"/>
          <w:b w:val="0"/>
          <w:bCs w:val="0"/>
          <w:sz w:val="32"/>
          <w:szCs w:val="32"/>
          <w:lang w:val="zh-CN" w:eastAsia="zh-CN"/>
        </w:rPr>
        <w:t>污泥池进行防渗处理。固体废物分类收集和处置。</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atLeas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严格执行环境保护设施与主体工程同时设计、同时施工、同时投入使用的环境保护“三同时”制度。在施工招标文件、施工合同和工程监理招标文件中明确环保条款和责任，认真落实施工期环境监理工作要求，施工期环境监理报告和环境监测报告应作为项目竣工环境保护验收的依据之一。项目建成后须按《建设项目竣工环境保护验收管理办法》规定程序实施竣工环境保护验收，建设单位应当登录全国建设项目竣工环境保护验收信息平台，填报建设项目基本信息、环境保护设施验收情况等相关信息，同时向生态环境保护部门备案。</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atLeas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项目若发生重大变动，须另行组织开展环境影响评价并重新报批。自环境影响报告</w:t>
      </w:r>
      <w:r>
        <w:rPr>
          <w:rFonts w:hint="eastAsia" w:ascii="仿宋" w:hAnsi="仿宋" w:eastAsia="仿宋" w:cs="仿宋"/>
          <w:sz w:val="32"/>
          <w:szCs w:val="32"/>
          <w:lang w:eastAsia="zh-CN"/>
        </w:rPr>
        <w:t>表</w:t>
      </w:r>
      <w:r>
        <w:rPr>
          <w:rFonts w:hint="eastAsia" w:ascii="仿宋" w:hAnsi="仿宋" w:eastAsia="仿宋" w:cs="仿宋"/>
          <w:sz w:val="32"/>
          <w:szCs w:val="32"/>
        </w:rPr>
        <w:t>批准之日起，如超过5年项目才开始建设的，环境影响报告</w:t>
      </w:r>
      <w:r>
        <w:rPr>
          <w:rFonts w:hint="eastAsia" w:ascii="仿宋" w:hAnsi="仿宋" w:eastAsia="仿宋" w:cs="仿宋"/>
          <w:sz w:val="32"/>
          <w:szCs w:val="32"/>
          <w:lang w:eastAsia="zh-CN"/>
        </w:rPr>
        <w:t>表</w:t>
      </w:r>
      <w:r>
        <w:rPr>
          <w:rFonts w:hint="eastAsia" w:ascii="仿宋" w:hAnsi="仿宋" w:eastAsia="仿宋" w:cs="仿宋"/>
          <w:sz w:val="32"/>
          <w:szCs w:val="32"/>
        </w:rPr>
        <w:t>应当报</w:t>
      </w:r>
      <w:r>
        <w:rPr>
          <w:rFonts w:hint="eastAsia" w:ascii="仿宋" w:hAnsi="仿宋" w:eastAsia="仿宋" w:cs="仿宋"/>
          <w:sz w:val="32"/>
          <w:szCs w:val="32"/>
          <w:lang w:eastAsia="zh-CN"/>
        </w:rPr>
        <w:t>生态环境部门</w:t>
      </w:r>
      <w:r>
        <w:rPr>
          <w:rFonts w:hint="eastAsia" w:ascii="仿宋" w:hAnsi="仿宋" w:eastAsia="仿宋" w:cs="仿宋"/>
          <w:sz w:val="32"/>
          <w:szCs w:val="32"/>
        </w:rPr>
        <w:t>重新</w:t>
      </w:r>
      <w:r>
        <w:rPr>
          <w:rFonts w:hint="eastAsia" w:ascii="仿宋" w:hAnsi="仿宋" w:eastAsia="仿宋" w:cs="仿宋"/>
          <w:sz w:val="32"/>
          <w:szCs w:val="32"/>
          <w:lang w:eastAsia="zh-CN"/>
        </w:rPr>
        <w:t>审批</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atLeas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五、接到该批复后，接受我局对该项目建设现场环境监督管理。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atLeas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 w:hAnsi="仿宋" w:eastAsia="仿宋" w:cs="仿宋"/>
          <w:sz w:val="32"/>
          <w:szCs w:val="32"/>
          <w:lang w:eastAsia="zh-CN"/>
        </w:rPr>
        <w:t>六、</w:t>
      </w:r>
      <w:r>
        <w:rPr>
          <w:rFonts w:hint="eastAsia" w:ascii="仿宋" w:hAnsi="仿宋" w:eastAsia="仿宋" w:cs="仿宋"/>
          <w:sz w:val="32"/>
          <w:szCs w:val="32"/>
        </w:rPr>
        <w:t>其他未经说明事宜，严格按照相关法律法规、规章制度及政策要求办理。</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atLeast"/>
        <w:ind w:leftChars="0" w:firstLine="2880" w:firstLineChars="9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atLeast"/>
        <w:ind w:leftChars="0" w:firstLine="2880" w:firstLineChars="9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atLeast"/>
        <w:ind w:leftChars="0" w:firstLine="2880" w:firstLineChars="9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迪庆藏族自治州生态环境局德钦分局</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atLeast"/>
        <w:ind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2020年11月9日</w:t>
      </w:r>
    </w:p>
    <w:p>
      <w:pPr>
        <w:pStyle w:val="2"/>
        <w:rPr>
          <w:rFonts w:hint="eastAsia" w:ascii="仿宋_GB2312" w:hAnsi="仿宋_GB2312" w:eastAsia="仿宋_GB2312" w:cs="仿宋_GB2312"/>
          <w:sz w:val="32"/>
          <w:szCs w:val="32"/>
          <w:lang w:val="en-US" w:eastAsia="zh-CN"/>
        </w:rPr>
      </w:pPr>
    </w:p>
    <w:p>
      <w:pPr>
        <w:pStyle w:val="7"/>
        <w:rPr>
          <w:rFonts w:hint="eastAsia"/>
        </w:rPr>
      </w:pPr>
    </w:p>
    <w:p>
      <w:pPr>
        <w:rPr>
          <w:rFonts w:hint="eastAsia"/>
        </w:rPr>
      </w:pPr>
    </w:p>
    <w:p>
      <w:pPr>
        <w:pStyle w:val="2"/>
        <w:rPr>
          <w:rFonts w:hint="eastAsia"/>
        </w:rPr>
      </w:pPr>
    </w:p>
    <w:p>
      <w:pPr>
        <w:pStyle w:val="7"/>
        <w:rPr>
          <w:rFonts w:hint="eastAsia"/>
        </w:rPr>
      </w:pPr>
    </w:p>
    <w:p>
      <w:pPr>
        <w:rPr>
          <w:rFonts w:hint="eastAsia"/>
        </w:rPr>
      </w:pPr>
    </w:p>
    <w:p>
      <w:pPr>
        <w:pStyle w:val="2"/>
        <w:rPr>
          <w:rFonts w:hint="eastAsia"/>
        </w:rPr>
      </w:pPr>
    </w:p>
    <w:p>
      <w:pPr>
        <w:pStyle w:val="7"/>
        <w:rPr>
          <w:rFonts w:hint="eastAsia"/>
        </w:rPr>
      </w:pPr>
    </w:p>
    <w:p>
      <w:pPr>
        <w:rPr>
          <w:rFonts w:hint="eastAsia"/>
        </w:rPr>
      </w:pPr>
    </w:p>
    <w:p>
      <w:pPr>
        <w:pStyle w:val="2"/>
        <w:rPr>
          <w:rFonts w:hint="eastAsia"/>
        </w:rPr>
      </w:pPr>
    </w:p>
    <w:p>
      <w:pPr>
        <w:pStyle w:val="7"/>
        <w:rPr>
          <w:rFonts w:hint="eastAsia"/>
        </w:rPr>
      </w:pPr>
    </w:p>
    <w:p>
      <w:pPr>
        <w:rPr>
          <w:rFonts w:hint="eastAsia"/>
        </w:rPr>
      </w:pPr>
    </w:p>
    <w:p>
      <w:pPr>
        <w:pStyle w:val="2"/>
        <w:rPr>
          <w:rFonts w:hint="eastAsia"/>
        </w:rPr>
      </w:pPr>
    </w:p>
    <w:p>
      <w:pPr>
        <w:pStyle w:val="7"/>
        <w:rPr>
          <w:rFonts w:hint="eastAsia"/>
        </w:rPr>
      </w:pPr>
    </w:p>
    <w:p>
      <w:pPr>
        <w:rPr>
          <w:rFonts w:hint="eastAsia"/>
        </w:rPr>
      </w:pPr>
    </w:p>
    <w:p>
      <w:pPr>
        <w:pStyle w:val="2"/>
        <w:rPr>
          <w:rFonts w:hint="eastAsia"/>
        </w:rPr>
      </w:pPr>
    </w:p>
    <w:p>
      <w:pPr>
        <w:pStyle w:val="7"/>
        <w:rPr>
          <w:rFonts w:hint="eastAsia"/>
        </w:rPr>
      </w:pPr>
    </w:p>
    <w:p>
      <w:pPr>
        <w:rPr>
          <w:rFonts w:hint="eastAsia"/>
        </w:rPr>
      </w:pPr>
    </w:p>
    <w:p>
      <w:pPr>
        <w:pStyle w:val="2"/>
        <w:rPr>
          <w:rFonts w:hint="eastAsia"/>
        </w:rPr>
      </w:pPr>
    </w:p>
    <w:p>
      <w:pPr>
        <w:pStyle w:val="7"/>
        <w:rPr>
          <w:rFonts w:hint="eastAsia"/>
        </w:rPr>
      </w:pPr>
    </w:p>
    <w:p>
      <w:pPr>
        <w:rPr>
          <w:rFonts w:hint="eastAsia"/>
        </w:rPr>
      </w:pPr>
    </w:p>
    <w:p>
      <w:pPr>
        <w:pStyle w:val="7"/>
        <w:ind w:left="0" w:leftChars="0" w:firstLine="0" w:firstLineChars="0"/>
        <w:rPr>
          <w:rFonts w:hint="eastAsia"/>
        </w:rPr>
      </w:pPr>
    </w:p>
    <w:p>
      <w:pPr>
        <w:pStyle w:val="2"/>
        <w:rPr>
          <w:rFonts w:hint="eastAsia"/>
        </w:rPr>
      </w:pPr>
    </w:p>
    <w:p>
      <w:pPr>
        <w:rPr>
          <w:rFonts w:hint="eastAsia"/>
        </w:rPr>
      </w:pPr>
    </w:p>
    <w:p>
      <w:pPr>
        <w:pStyle w:val="2"/>
        <w:rPr>
          <w:rFonts w:hint="eastAsia"/>
        </w:rPr>
      </w:pPr>
    </w:p>
    <w:p>
      <w:pPr>
        <w:widowControl/>
        <w:wordWrap w:val="0"/>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381635</wp:posOffset>
                </wp:positionV>
                <wp:extent cx="5654040" cy="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54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0.05pt;height:0pt;width:445.2pt;z-index:251662336;mso-width-relative:page;mso-height-relative:page;" filled="f" stroked="t" coordsize="21600,21600" o:gfxdata="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12onNQAAAAGAQAADwAAAAAAAAABACAAAAAiAAAAZHJzL2Rvd25yZXYueG1s&#10;UEsBAhQAFAAAAAgAh07iQCD0Epf8AQAA7gMAAA4AAAAAAAAAAQAgAAAAIwEAAGRycy9lMm9Eb2Mu&#10;eG1sUEsFBgAAAAAGAAYAWQEAAJE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13335</wp:posOffset>
                </wp:positionV>
                <wp:extent cx="5654040" cy="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654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1.05pt;height:0pt;width:445.2pt;z-index:251661312;mso-width-relative:page;mso-height-relative:page;" filled="f" stroked="t" coordsize="21600,21600" o:gfxdata="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ny+0gAAAAQBAAAPAAAAAAAAAAEAIAAAACIAAABkcnMvZG93bnJldi54bWxQ&#10;SwECFAAUAAAACACHTuJA64KIP/0BAADuAwAADgAAAAAAAAABACAAAAAhAQAAZHJzL2Uyb0RvYy54&#10;bWxQSwUGAAAAAAYABgBZAQAAkA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lang w:eastAsia="zh-CN"/>
        </w:rPr>
        <w:t>迪庆藏族自治州生态环境局德钦分局</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印发</w:t>
      </w:r>
    </w:p>
    <w:sectPr>
      <w:footerReference r:id="rId3" w:type="default"/>
      <w:pgSz w:w="11906" w:h="16838"/>
      <w:pgMar w:top="850" w:right="1474" w:bottom="56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仿宋_GB2312" w:hAnsi="仿宋_GB2312" w:eastAsia="仿宋_GB2312" w:cs="仿宋_GB2312"/>
                              <w:lang w:eastAsia="zh-CN"/>
                            </w:rPr>
                          </w:pPr>
                          <w:r>
                            <w:rPr>
                              <w:rFonts w:hint="eastAsia" w:ascii="仿宋_GB2312" w:hAnsi="仿宋_GB2312" w:eastAsia="仿宋_GB2312" w:cs="仿宋_GB2312"/>
                              <w:lang w:eastAsia="zh-CN"/>
                            </w:rPr>
                            <w:fldChar w:fldCharType="begin"/>
                          </w:r>
                          <w:r>
                            <w:rPr>
                              <w:rFonts w:hint="eastAsia" w:ascii="仿宋_GB2312" w:hAnsi="仿宋_GB2312" w:eastAsia="仿宋_GB2312" w:cs="仿宋_GB2312"/>
                              <w:lang w:eastAsia="zh-CN"/>
                            </w:rPr>
                            <w:instrText xml:space="preserve"> PAGE  \* MERGEFORMAT </w:instrText>
                          </w:r>
                          <w:r>
                            <w:rPr>
                              <w:rFonts w:hint="eastAsia" w:ascii="仿宋_GB2312" w:hAnsi="仿宋_GB2312" w:eastAsia="仿宋_GB2312" w:cs="仿宋_GB2312"/>
                              <w:lang w:eastAsia="zh-CN"/>
                            </w:rPr>
                            <w:fldChar w:fldCharType="separate"/>
                          </w:r>
                          <w:r>
                            <w:rPr>
                              <w:rFonts w:hint="eastAsia" w:ascii="仿宋_GB2312" w:hAnsi="仿宋_GB2312" w:eastAsia="仿宋_GB2312" w:cs="仿宋_GB2312"/>
                              <w:lang w:eastAsia="zh-CN"/>
                            </w:rPr>
                            <w:t>1</w:t>
                          </w:r>
                          <w:r>
                            <w:rPr>
                              <w:rFonts w:hint="eastAsia" w:ascii="仿宋_GB2312" w:hAnsi="仿宋_GB2312" w:eastAsia="仿宋_GB2312" w:cs="仿宋_GB231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ascii="仿宋_GB2312" w:hAnsi="仿宋_GB2312" w:eastAsia="仿宋_GB2312" w:cs="仿宋_GB2312"/>
                        <w:lang w:eastAsia="zh-CN"/>
                      </w:rPr>
                    </w:pPr>
                    <w:r>
                      <w:rPr>
                        <w:rFonts w:hint="eastAsia" w:ascii="仿宋_GB2312" w:hAnsi="仿宋_GB2312" w:eastAsia="仿宋_GB2312" w:cs="仿宋_GB2312"/>
                        <w:lang w:eastAsia="zh-CN"/>
                      </w:rPr>
                      <w:fldChar w:fldCharType="begin"/>
                    </w:r>
                    <w:r>
                      <w:rPr>
                        <w:rFonts w:hint="eastAsia" w:ascii="仿宋_GB2312" w:hAnsi="仿宋_GB2312" w:eastAsia="仿宋_GB2312" w:cs="仿宋_GB2312"/>
                        <w:lang w:eastAsia="zh-CN"/>
                      </w:rPr>
                      <w:instrText xml:space="preserve"> PAGE  \* MERGEFORMAT </w:instrText>
                    </w:r>
                    <w:r>
                      <w:rPr>
                        <w:rFonts w:hint="eastAsia" w:ascii="仿宋_GB2312" w:hAnsi="仿宋_GB2312" w:eastAsia="仿宋_GB2312" w:cs="仿宋_GB2312"/>
                        <w:lang w:eastAsia="zh-CN"/>
                      </w:rPr>
                      <w:fldChar w:fldCharType="separate"/>
                    </w:r>
                    <w:r>
                      <w:rPr>
                        <w:rFonts w:hint="eastAsia" w:ascii="仿宋_GB2312" w:hAnsi="仿宋_GB2312" w:eastAsia="仿宋_GB2312" w:cs="仿宋_GB2312"/>
                        <w:lang w:eastAsia="zh-CN"/>
                      </w:rPr>
                      <w:t>1</w:t>
                    </w:r>
                    <w:r>
                      <w:rPr>
                        <w:rFonts w:hint="eastAsia" w:ascii="仿宋_GB2312" w:hAnsi="仿宋_GB2312" w:eastAsia="仿宋_GB2312" w:cs="仿宋_GB231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F9DDD"/>
    <w:multiLevelType w:val="singleLevel"/>
    <w:tmpl w:val="A07F9D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ZDYzNWRjZmRlMDRiZThlMzNlMGZlOGFhOGU2ZWIifQ=="/>
  </w:docVars>
  <w:rsids>
    <w:rsidRoot w:val="009C425C"/>
    <w:rsid w:val="002A55CA"/>
    <w:rsid w:val="002E0E69"/>
    <w:rsid w:val="003A3C5A"/>
    <w:rsid w:val="009C425C"/>
    <w:rsid w:val="00B053E0"/>
    <w:rsid w:val="01CE3B73"/>
    <w:rsid w:val="027B4424"/>
    <w:rsid w:val="031A0DFA"/>
    <w:rsid w:val="03921936"/>
    <w:rsid w:val="04211A1F"/>
    <w:rsid w:val="049663B3"/>
    <w:rsid w:val="05B270B5"/>
    <w:rsid w:val="082B6288"/>
    <w:rsid w:val="091E0C19"/>
    <w:rsid w:val="0AA9381D"/>
    <w:rsid w:val="0ABA62F8"/>
    <w:rsid w:val="0BA56E05"/>
    <w:rsid w:val="0C3D0D75"/>
    <w:rsid w:val="0C9C1E76"/>
    <w:rsid w:val="0CDA6816"/>
    <w:rsid w:val="0CFD097F"/>
    <w:rsid w:val="0DAA2B1C"/>
    <w:rsid w:val="0E5956D9"/>
    <w:rsid w:val="10EB3A5A"/>
    <w:rsid w:val="10FB3F13"/>
    <w:rsid w:val="13734361"/>
    <w:rsid w:val="13A25DC3"/>
    <w:rsid w:val="144030AB"/>
    <w:rsid w:val="148447B4"/>
    <w:rsid w:val="15287121"/>
    <w:rsid w:val="1659261F"/>
    <w:rsid w:val="1A750A68"/>
    <w:rsid w:val="1AF5720F"/>
    <w:rsid w:val="1B2F6873"/>
    <w:rsid w:val="1C0971B5"/>
    <w:rsid w:val="1C5B6173"/>
    <w:rsid w:val="1D294FEE"/>
    <w:rsid w:val="1DD80BE9"/>
    <w:rsid w:val="1E67241A"/>
    <w:rsid w:val="1EC76B91"/>
    <w:rsid w:val="1F525B95"/>
    <w:rsid w:val="216A6E98"/>
    <w:rsid w:val="223370DB"/>
    <w:rsid w:val="24201280"/>
    <w:rsid w:val="243D07A1"/>
    <w:rsid w:val="25EF412C"/>
    <w:rsid w:val="265702AD"/>
    <w:rsid w:val="26CB5750"/>
    <w:rsid w:val="29837695"/>
    <w:rsid w:val="29892D2F"/>
    <w:rsid w:val="2AC73B65"/>
    <w:rsid w:val="2D95522A"/>
    <w:rsid w:val="2DB774EC"/>
    <w:rsid w:val="2E3A7034"/>
    <w:rsid w:val="2E697751"/>
    <w:rsid w:val="2ECA549B"/>
    <w:rsid w:val="2F226206"/>
    <w:rsid w:val="2FCE4A54"/>
    <w:rsid w:val="310306AF"/>
    <w:rsid w:val="310B2C8D"/>
    <w:rsid w:val="332C5D6A"/>
    <w:rsid w:val="33B01432"/>
    <w:rsid w:val="34263381"/>
    <w:rsid w:val="34BC65D7"/>
    <w:rsid w:val="352E2B6B"/>
    <w:rsid w:val="35925A39"/>
    <w:rsid w:val="38196A86"/>
    <w:rsid w:val="38C70A71"/>
    <w:rsid w:val="3AE24FE1"/>
    <w:rsid w:val="3D8064A3"/>
    <w:rsid w:val="3E716A0E"/>
    <w:rsid w:val="3EB43698"/>
    <w:rsid w:val="3ECB0ED4"/>
    <w:rsid w:val="3FCA1630"/>
    <w:rsid w:val="40540AAD"/>
    <w:rsid w:val="413E7EE3"/>
    <w:rsid w:val="415F36B6"/>
    <w:rsid w:val="41E611C4"/>
    <w:rsid w:val="41F74080"/>
    <w:rsid w:val="42CE2BBC"/>
    <w:rsid w:val="4390032D"/>
    <w:rsid w:val="43FC5FDA"/>
    <w:rsid w:val="441652D8"/>
    <w:rsid w:val="44302BDF"/>
    <w:rsid w:val="4495314A"/>
    <w:rsid w:val="449A3B62"/>
    <w:rsid w:val="46AA5B3B"/>
    <w:rsid w:val="471308E3"/>
    <w:rsid w:val="48823E17"/>
    <w:rsid w:val="48FC7912"/>
    <w:rsid w:val="4B674D31"/>
    <w:rsid w:val="4BF56A11"/>
    <w:rsid w:val="4C440C34"/>
    <w:rsid w:val="4CE66572"/>
    <w:rsid w:val="4D607845"/>
    <w:rsid w:val="4E094F78"/>
    <w:rsid w:val="4E7F7676"/>
    <w:rsid w:val="519448A4"/>
    <w:rsid w:val="52046823"/>
    <w:rsid w:val="521A70D7"/>
    <w:rsid w:val="521B077F"/>
    <w:rsid w:val="546937B1"/>
    <w:rsid w:val="54D753CE"/>
    <w:rsid w:val="55243F02"/>
    <w:rsid w:val="56407A11"/>
    <w:rsid w:val="56511BFE"/>
    <w:rsid w:val="567730D4"/>
    <w:rsid w:val="56D93672"/>
    <w:rsid w:val="584C5974"/>
    <w:rsid w:val="585A60C2"/>
    <w:rsid w:val="58FA0070"/>
    <w:rsid w:val="594C62DC"/>
    <w:rsid w:val="59E27489"/>
    <w:rsid w:val="5A313DAD"/>
    <w:rsid w:val="5B346A40"/>
    <w:rsid w:val="5BE66C95"/>
    <w:rsid w:val="5CBB6027"/>
    <w:rsid w:val="5D2604C9"/>
    <w:rsid w:val="5D960844"/>
    <w:rsid w:val="5E9465D6"/>
    <w:rsid w:val="5F6A18F9"/>
    <w:rsid w:val="5F8A36F3"/>
    <w:rsid w:val="5FE17B44"/>
    <w:rsid w:val="60670453"/>
    <w:rsid w:val="61895075"/>
    <w:rsid w:val="62972908"/>
    <w:rsid w:val="63F95985"/>
    <w:rsid w:val="642764D9"/>
    <w:rsid w:val="64C20701"/>
    <w:rsid w:val="650C39B5"/>
    <w:rsid w:val="65B76386"/>
    <w:rsid w:val="66670B8A"/>
    <w:rsid w:val="671E5F39"/>
    <w:rsid w:val="67244D8B"/>
    <w:rsid w:val="67386AE7"/>
    <w:rsid w:val="67F4293F"/>
    <w:rsid w:val="68BF153F"/>
    <w:rsid w:val="6A110B71"/>
    <w:rsid w:val="6AE3590F"/>
    <w:rsid w:val="6B5770A8"/>
    <w:rsid w:val="6BBF306E"/>
    <w:rsid w:val="6C041E6C"/>
    <w:rsid w:val="6C256209"/>
    <w:rsid w:val="6D4619BE"/>
    <w:rsid w:val="6E2B6AF2"/>
    <w:rsid w:val="6E5F6FA9"/>
    <w:rsid w:val="6E8C6499"/>
    <w:rsid w:val="700B2F0A"/>
    <w:rsid w:val="702F6197"/>
    <w:rsid w:val="716570E0"/>
    <w:rsid w:val="724039F0"/>
    <w:rsid w:val="73063F85"/>
    <w:rsid w:val="73D00175"/>
    <w:rsid w:val="73E71E10"/>
    <w:rsid w:val="74CD3B54"/>
    <w:rsid w:val="74D35340"/>
    <w:rsid w:val="750A02A0"/>
    <w:rsid w:val="754A1C6D"/>
    <w:rsid w:val="76663547"/>
    <w:rsid w:val="76B46E9A"/>
    <w:rsid w:val="77435F41"/>
    <w:rsid w:val="776442E5"/>
    <w:rsid w:val="799F4392"/>
    <w:rsid w:val="79DE5966"/>
    <w:rsid w:val="79FB4D00"/>
    <w:rsid w:val="7A397C05"/>
    <w:rsid w:val="7A8C6E3B"/>
    <w:rsid w:val="7AA25E82"/>
    <w:rsid w:val="7AAC45B6"/>
    <w:rsid w:val="7AF552B6"/>
    <w:rsid w:val="7B7F6D59"/>
    <w:rsid w:val="7B811E9A"/>
    <w:rsid w:val="7B940232"/>
    <w:rsid w:val="7C375E68"/>
    <w:rsid w:val="7D913CDB"/>
    <w:rsid w:val="7E5D28AC"/>
    <w:rsid w:val="7EED4B02"/>
    <w:rsid w:val="7F660100"/>
    <w:rsid w:val="7FBE3D3E"/>
    <w:rsid w:val="7FCC5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C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48"/>
      <w:szCs w:val="48"/>
      <w:lang w:val="en-US" w:eastAsia="zh-CN" w:bidi="ar"/>
    </w:rPr>
  </w:style>
  <w:style w:type="paragraph" w:styleId="10">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16">
    <w:name w:val="Default Paragraph Font"/>
    <w:link w:val="17"/>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7"/>
    <w:qFormat/>
    <w:uiPriority w:val="0"/>
    <w:pPr>
      <w:adjustRightInd/>
      <w:snapToGrid/>
      <w:spacing w:after="120" w:line="240" w:lineRule="atLeast"/>
      <w:ind w:left="420" w:leftChars="200" w:firstLine="420" w:firstLineChars="200"/>
    </w:pPr>
    <w:rPr>
      <w:sz w:val="21"/>
    </w:rPr>
  </w:style>
  <w:style w:type="paragraph" w:styleId="3">
    <w:name w:val="Body Text Indent"/>
    <w:basedOn w:val="1"/>
    <w:next w:val="4"/>
    <w:unhideWhenUsed/>
    <w:qFormat/>
    <w:uiPriority w:val="99"/>
    <w:pPr>
      <w:spacing w:after="120"/>
      <w:ind w:left="420" w:leftChars="200"/>
    </w:p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index heading"/>
    <w:basedOn w:val="1"/>
    <w:next w:val="6"/>
    <w:qFormat/>
    <w:uiPriority w:val="0"/>
    <w:rPr>
      <w:rFonts w:ascii="Arial" w:hAnsi="Arial"/>
      <w:b/>
    </w:rPr>
  </w:style>
  <w:style w:type="paragraph" w:styleId="6">
    <w:name w:val="index 1"/>
    <w:basedOn w:val="1"/>
    <w:next w:val="1"/>
    <w:qFormat/>
    <w:uiPriority w:val="0"/>
    <w:pPr>
      <w:spacing w:line="360" w:lineRule="auto"/>
    </w:pPr>
    <w:rPr>
      <w:szCs w:val="21"/>
    </w:rPr>
  </w:style>
  <w:style w:type="paragraph" w:styleId="7">
    <w:name w:val="Body Text First Indent"/>
    <w:basedOn w:val="8"/>
    <w:next w:val="1"/>
    <w:qFormat/>
    <w:uiPriority w:val="0"/>
    <w:pPr>
      <w:spacing w:line="240" w:lineRule="auto"/>
      <w:ind w:firstLine="420" w:firstLineChars="100"/>
    </w:pPr>
    <w:rPr>
      <w:rFonts w:ascii="Calibri" w:hAnsi="Calibri"/>
      <w:sz w:val="21"/>
    </w:rPr>
  </w:style>
  <w:style w:type="paragraph" w:styleId="8">
    <w:name w:val="Body Text"/>
    <w:basedOn w:val="1"/>
    <w:next w:val="1"/>
    <w:qFormat/>
    <w:uiPriority w:val="0"/>
    <w:pPr>
      <w:spacing w:after="120"/>
    </w:pPr>
    <w:rPr>
      <w:lang w:val="zh-CN"/>
    </w:rPr>
  </w:style>
  <w:style w:type="paragraph" w:styleId="11">
    <w:name w:val="Plain Text"/>
    <w:basedOn w:val="1"/>
    <w:qFormat/>
    <w:uiPriority w:val="0"/>
    <w:rPr>
      <w:rFonts w:ascii="宋体" w:hAnsi="Courier New"/>
      <w:kern w:val="0"/>
      <w:sz w:val="20"/>
      <w:szCs w:val="20"/>
    </w:rPr>
  </w:style>
  <w:style w:type="paragraph" w:styleId="12">
    <w:name w:val="Balloon Text"/>
    <w:basedOn w:val="1"/>
    <w:link w:val="21"/>
    <w:semiHidden/>
    <w:unhideWhenUsed/>
    <w:qFormat/>
    <w:uiPriority w:val="99"/>
    <w:rPr>
      <w:sz w:val="18"/>
      <w:szCs w:val="18"/>
    </w:rPr>
  </w:style>
  <w:style w:type="paragraph" w:styleId="13">
    <w:name w:val="footer"/>
    <w:basedOn w:val="1"/>
    <w:qFormat/>
    <w:uiPriority w:val="0"/>
    <w:pPr>
      <w:tabs>
        <w:tab w:val="center" w:pos="4153"/>
        <w:tab w:val="right" w:pos="8306"/>
      </w:tabs>
      <w:snapToGrid w:val="0"/>
      <w:jc w:val="left"/>
    </w:pPr>
    <w:rPr>
      <w:sz w:val="32"/>
    </w:rPr>
  </w:style>
  <w:style w:type="paragraph" w:styleId="14">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17">
    <w:name w:val=" Char Char1 Char"/>
    <w:basedOn w:val="1"/>
    <w:link w:val="16"/>
    <w:qFormat/>
    <w:uiPriority w:val="0"/>
  </w:style>
  <w:style w:type="character" w:styleId="18">
    <w:name w:val="page number"/>
    <w:basedOn w:val="16"/>
    <w:qFormat/>
    <w:uiPriority w:val="0"/>
  </w:style>
  <w:style w:type="character" w:styleId="19">
    <w:name w:val="FollowedHyperlink"/>
    <w:basedOn w:val="16"/>
    <w:semiHidden/>
    <w:unhideWhenUsed/>
    <w:qFormat/>
    <w:uiPriority w:val="99"/>
    <w:rPr>
      <w:color w:val="000000"/>
      <w:u w:val="none"/>
    </w:rPr>
  </w:style>
  <w:style w:type="character" w:styleId="20">
    <w:name w:val="Hyperlink"/>
    <w:basedOn w:val="16"/>
    <w:semiHidden/>
    <w:unhideWhenUsed/>
    <w:qFormat/>
    <w:uiPriority w:val="99"/>
    <w:rPr>
      <w:color w:val="000000"/>
      <w:u w:val="none"/>
    </w:rPr>
  </w:style>
  <w:style w:type="character" w:customStyle="1" w:styleId="21">
    <w:name w:val="批注框文本 Char"/>
    <w:basedOn w:val="16"/>
    <w:link w:val="1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Words>
  <Characters>29</Characters>
  <Lines>1</Lines>
  <Paragraphs>1</Paragraphs>
  <TotalTime>3</TotalTime>
  <ScaleCrop>false</ScaleCrop>
  <LinksUpToDate>false</LinksUpToDate>
  <CharactersWithSpaces>32</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2019-03-29T07:43:00Z</dcterms:created>
  <dc:creator>Administrator</dc:creator>
  <cp:lastModifiedBy>云杰</cp:lastModifiedBy>
  <cp:lastPrinted>2020-11-09T02:33:00Z</cp:lastPrinted>
  <dcterms:modified xsi:type="dcterms:W3CDTF">2024-06-20T02:34:42Z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42852996870B437CA4476FF9E8A7A42F_12</vt:lpwstr>
  </property>
</Properties>
</file>