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bCs w:val="0"/>
          <w:sz w:val="44"/>
          <w:szCs w:val="44"/>
          <w:lang w:val="en-US" w:eastAsia="zh-CN"/>
        </w:rPr>
      </w:pPr>
      <w:r>
        <w:rPr>
          <w:rFonts w:hint="eastAsia" w:ascii="方正小标宋简体" w:hAnsi="方正小标宋简体" w:eastAsia="方正小标宋简体" w:cs="方正小标宋简体"/>
          <w:b/>
          <w:bCs w:val="0"/>
          <w:sz w:val="44"/>
          <w:szCs w:val="44"/>
          <w:lang w:eastAsia="zh-CN"/>
        </w:rPr>
        <w:t>关于下达奔子栏镇</w:t>
      </w:r>
      <w:r>
        <w:rPr>
          <w:rFonts w:hint="eastAsia" w:ascii="方正小标宋简体" w:hAnsi="方正小标宋简体" w:eastAsia="方正小标宋简体" w:cs="方正小标宋简体"/>
          <w:b/>
          <w:bCs w:val="0"/>
          <w:sz w:val="44"/>
          <w:szCs w:val="44"/>
        </w:rPr>
        <w:t>夺通村哈格小组、擦洒贡小组农田基础设施项目</w:t>
      </w:r>
      <w:r>
        <w:rPr>
          <w:rFonts w:hint="eastAsia" w:ascii="方正小标宋简体" w:hAnsi="方正小标宋简体" w:eastAsia="方正小标宋简体" w:cs="方正小标宋简体"/>
          <w:b/>
          <w:bCs w:val="0"/>
          <w:sz w:val="44"/>
          <w:szCs w:val="44"/>
          <w:lang w:eastAsia="zh-CN"/>
        </w:rPr>
        <w:t>资金的通知</w:t>
      </w:r>
    </w:p>
    <w:p>
      <w:pPr>
        <w:jc w:val="center"/>
        <w:rPr>
          <w:rFonts w:hint="eastAsia" w:ascii="方正小标宋简体" w:hAnsi="方正小标宋简体" w:eastAsia="方正小标宋简体" w:cs="方正小标宋简体"/>
          <w:b/>
          <w:bCs w:val="0"/>
          <w:sz w:val="44"/>
          <w:szCs w:val="44"/>
          <w:lang w:eastAsia="zh-CN"/>
        </w:rPr>
      </w:pPr>
      <w:r>
        <w:rPr>
          <w:rFonts w:hint="eastAsia" w:ascii="仿宋_GB2312" w:hAnsi="仿宋_GB2312" w:eastAsia="仿宋_GB2312" w:cs="仿宋_GB2312"/>
          <w:sz w:val="32"/>
          <w:szCs w:val="32"/>
          <w:lang w:val="en-US" w:eastAsia="zh-CN"/>
        </w:rPr>
        <w:t>德财农〔2024〕20号</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德钦县奔子栏镇人民政府</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报请县人民政府常务会议研究同意后</w:t>
      </w:r>
      <w:r>
        <w:rPr>
          <w:rFonts w:hint="eastAsia" w:ascii="仿宋_GB2312" w:hAnsi="仿宋_GB2312" w:eastAsia="仿宋_GB2312" w:cs="仿宋_GB2312"/>
          <w:color w:val="auto"/>
          <w:sz w:val="32"/>
          <w:lang w:val="en-US" w:eastAsia="zh-CN"/>
        </w:rPr>
        <w:t>，根据《迪庆州财政局关于提前下达2024年中央财政衔接推进乡村振兴补助资金的通知》（迪</w:t>
      </w:r>
      <w:r>
        <w:rPr>
          <w:rFonts w:hint="eastAsia" w:ascii="仿宋_GB2312" w:hAnsi="仿宋_GB2312" w:eastAsia="仿宋_GB2312" w:cs="仿宋_GB2312"/>
          <w:sz w:val="32"/>
          <w:szCs w:val="32"/>
          <w:lang w:val="en-US" w:eastAsia="zh-CN"/>
        </w:rPr>
        <w:t>财农〔2023〕108号</w:t>
      </w:r>
      <w:r>
        <w:rPr>
          <w:rFonts w:hint="eastAsia" w:ascii="仿宋_GB2312" w:hAnsi="仿宋_GB2312" w:eastAsia="仿宋_GB2312" w:cs="仿宋_GB2312"/>
          <w:color w:val="auto"/>
          <w:sz w:val="32"/>
          <w:lang w:val="en-US" w:eastAsia="zh-CN"/>
        </w:rPr>
        <w:t>）文件精神，</w:t>
      </w:r>
      <w:r>
        <w:rPr>
          <w:rFonts w:hint="eastAsia" w:ascii="仿宋_GB2312" w:hAnsi="仿宋_GB2312" w:eastAsia="仿宋_GB2312" w:cs="仿宋_GB2312"/>
          <w:color w:val="auto"/>
          <w:sz w:val="32"/>
          <w:lang w:eastAsia="zh-CN"/>
        </w:rPr>
        <w:t>现</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lang w:val="en-US" w:eastAsia="zh-CN"/>
        </w:rPr>
        <w:t>2024年第一批</w:t>
      </w:r>
      <w:r>
        <w:rPr>
          <w:rFonts w:hint="eastAsia" w:ascii="仿宋_GB2312" w:hAnsi="仿宋_GB2312" w:eastAsia="仿宋_GB2312" w:cs="仿宋_GB2312"/>
          <w:color w:val="auto"/>
          <w:sz w:val="32"/>
          <w:lang w:val="en-US" w:eastAsia="zh-CN"/>
        </w:rPr>
        <w:t>中央财政衔接推进乡村振兴补助资金</w:t>
      </w:r>
      <w:r>
        <w:rPr>
          <w:rFonts w:hint="eastAsia" w:ascii="仿宋_GB2312" w:hAnsi="仿宋_GB2312" w:eastAsia="仿宋_GB2312" w:cs="仿宋_GB2312"/>
          <w:color w:val="000000" w:themeColor="text1"/>
          <w:sz w:val="32"/>
          <w:lang w:val="en-US" w:eastAsia="zh-CN"/>
          <w14:textFill>
            <w14:solidFill>
              <w14:schemeClr w14:val="tx1"/>
            </w14:solidFill>
          </w14:textFill>
        </w:rPr>
        <w:t>38万</w:t>
      </w:r>
      <w:r>
        <w:rPr>
          <w:rFonts w:hint="eastAsia" w:ascii="仿宋_GB2312" w:hAnsi="仿宋_GB2312" w:eastAsia="仿宋_GB2312" w:cs="仿宋_GB2312"/>
          <w:color w:val="auto"/>
          <w:sz w:val="32"/>
          <w:lang w:val="en-US" w:eastAsia="zh-CN"/>
        </w:rPr>
        <w:t>元</w:t>
      </w:r>
      <w:r>
        <w:rPr>
          <w:rFonts w:hint="eastAsia" w:ascii="仿宋_GB2312" w:hAnsi="仿宋_GB2312" w:eastAsia="仿宋_GB2312" w:cs="仿宋_GB2312"/>
          <w:color w:val="auto"/>
          <w:sz w:val="32"/>
          <w:szCs w:val="32"/>
          <w:lang w:val="en-US" w:eastAsia="zh-CN"/>
        </w:rPr>
        <w:t>下达给你单位</w:t>
      </w:r>
      <w:r>
        <w:rPr>
          <w:rFonts w:hint="eastAsia" w:ascii="仿宋_GB2312" w:hAnsi="仿宋_GB2312" w:eastAsia="仿宋_GB2312" w:cs="仿宋_GB2312"/>
          <w:sz w:val="32"/>
          <w:szCs w:val="32"/>
          <w:lang w:val="en-US" w:eastAsia="zh-CN"/>
        </w:rPr>
        <w:t>，专项用于奔子栏镇</w:t>
      </w:r>
      <w:r>
        <w:rPr>
          <w:rFonts w:hint="eastAsia" w:ascii="仿宋_GB2312" w:hAnsi="仿宋_GB2312" w:eastAsia="仿宋_GB2312" w:cs="仿宋_GB2312"/>
          <w:color w:val="000000" w:themeColor="text1"/>
          <w:sz w:val="32"/>
          <w:lang w:val="en-US" w:eastAsia="zh-CN"/>
          <w14:textFill>
            <w14:solidFill>
              <w14:schemeClr w14:val="tx1"/>
            </w14:solidFill>
          </w14:textFill>
        </w:rPr>
        <w:t>夺通村哈格小组、擦洒贡小组农田基础设施项目。此款请列入2024年“2130504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—基础设施建设</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rPr>
        <w:t>预</w:t>
      </w:r>
      <w:r>
        <w:rPr>
          <w:rFonts w:hint="eastAsia" w:ascii="仿宋_GB2312" w:hAnsi="仿宋_GB2312" w:eastAsia="仿宋_GB2312" w:cs="仿宋_GB2312"/>
          <w:color w:val="auto"/>
          <w:sz w:val="32"/>
          <w:szCs w:val="32"/>
          <w:lang w:eastAsia="zh-CN"/>
        </w:rPr>
        <w:t>算支出科目。现有关事项通知如下：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（一）管好用好衔接资金。</w:t>
      </w:r>
      <w:r>
        <w:rPr>
          <w:rFonts w:hint="eastAsia" w:ascii="仿宋_GB2312" w:hAnsi="仿宋_GB2312" w:eastAsia="仿宋_GB2312" w:cs="仿宋_GB2312"/>
          <w:sz w:val="32"/>
          <w:szCs w:val="32"/>
          <w:lang w:val="en-US" w:eastAsia="zh-CN"/>
        </w:rPr>
        <w:t>认真贯彻落实党中央、国务院和省、州、县党委政府关于巩固拓展脱贫攻坚成果同乡村振兴有效衔接的决策部署，严格按照</w:t>
      </w:r>
      <w:r>
        <w:rPr>
          <w:rFonts w:hint="eastAsia" w:ascii="仿宋_GB2312" w:hAnsi="仿宋_GB2312" w:eastAsia="仿宋_GB2312" w:cs="仿宋_GB2312"/>
          <w:color w:val="auto"/>
          <w:sz w:val="32"/>
          <w:szCs w:val="32"/>
          <w:highlight w:val="none"/>
          <w:lang w:val="en-US" w:eastAsia="zh-CN"/>
        </w:rPr>
        <w:t>财政部等6部委《中央财政衔接推进乡村振兴补助资金管理办法》（财农［2021]19号）、《关于加强中央财政衔接推进乡村振兴补助资金使用管理的指导意见》（财农〔2022〕14号）</w:t>
      </w:r>
      <w:r>
        <w:rPr>
          <w:rFonts w:hint="eastAsia" w:ascii="仿宋_GB2312" w:hAnsi="仿宋_GB2312" w:eastAsia="仿宋_GB2312" w:cs="仿宋_GB2312"/>
          <w:b w:val="0"/>
          <w:bCs w:val="0"/>
          <w:color w:val="auto"/>
          <w:sz w:val="32"/>
          <w:szCs w:val="32"/>
          <w:highlight w:val="none"/>
          <w:lang w:val="en-US" w:eastAsia="zh-CN"/>
        </w:rPr>
        <w:t>规定管理使用资金，资金不得用于单位基本支出等与巩固拓展脱贫攻坚同乡村振兴无关的支出。</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（二）及时挂接项目。</w:t>
      </w:r>
      <w:r>
        <w:rPr>
          <w:rFonts w:hint="eastAsia" w:ascii="仿宋_GB2312" w:hAnsi="仿宋_GB2312" w:eastAsia="仿宋_GB2312" w:cs="仿宋_GB2312"/>
          <w:b w:val="0"/>
          <w:bCs w:val="0"/>
          <w:sz w:val="32"/>
          <w:szCs w:val="32"/>
          <w:lang w:val="en-US" w:eastAsia="zh-CN"/>
        </w:rPr>
        <w:t>严格按照《云南财政·预算管理一体化服务平台》的相关要求，</w:t>
      </w:r>
      <w:r>
        <w:rPr>
          <w:rFonts w:hint="eastAsia" w:ascii="仿宋_GB2312" w:hAnsi="仿宋_GB2312" w:eastAsia="仿宋_GB2312" w:cs="仿宋_GB2312"/>
          <w:b w:val="0"/>
          <w:bCs w:val="0"/>
          <w:color w:val="auto"/>
          <w:sz w:val="32"/>
          <w:szCs w:val="32"/>
          <w:lang w:val="en-US" w:eastAsia="zh-CN"/>
        </w:rPr>
        <w:t>在1月24日</w:t>
      </w:r>
      <w:r>
        <w:rPr>
          <w:rFonts w:hint="eastAsia" w:ascii="仿宋_GB2312" w:hAnsi="仿宋_GB2312" w:eastAsia="仿宋_GB2312" w:cs="仿宋_GB2312"/>
          <w:b w:val="0"/>
          <w:bCs w:val="0"/>
          <w:sz w:val="32"/>
          <w:szCs w:val="32"/>
          <w:lang w:val="en-US" w:eastAsia="zh-CN"/>
        </w:rPr>
        <w:t>前完成项目挂接，如果不及时挂接项目，导致资金系统下达时限超过上级要求或未达到绩效目标要求的，后果由资金使用单位承担。县财政局将县级资金文件下发时间视同为资金下达时间，并根据下文日期做好资金台账管理工作。</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（三）加快资金支出进度</w:t>
      </w:r>
      <w:r>
        <w:rPr>
          <w:rFonts w:hint="eastAsia" w:ascii="仿宋_GB2312" w:hAnsi="仿宋_GB2312" w:eastAsia="仿宋_GB2312" w:cs="仿宋_GB2312"/>
          <w:b w:val="0"/>
          <w:bCs w:val="0"/>
          <w:sz w:val="32"/>
          <w:szCs w:val="32"/>
          <w:lang w:val="en-US" w:eastAsia="zh-CN"/>
        </w:rPr>
        <w:t>。资金使用单位要提前做好项目储备，开展项目前期，加快项目实施进度，确保按序时要求完成资金支出，严格按国库集中支付要求拨付资金，杜绝出现“以拨代支”。</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rPr>
        <w:t>（四）落实全面绩效管理。</w:t>
      </w:r>
      <w:r>
        <w:rPr>
          <w:rFonts w:hint="eastAsia"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sz w:val="32"/>
          <w:szCs w:val="32"/>
          <w:lang w:val="en-US" w:eastAsia="zh-CN" w:bidi="ar-SA"/>
        </w:rPr>
        <w:t>绩效目标与资金文件一同下发，资金使用单位务必要严格按照项目绩效目标管理资金，若出现偏离目标或调整绩效内容情况，严格按程序报财政、乡村振兴等部门进行相应调整。</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rPr>
        <w:t>（五）加强资产后续管理。</w:t>
      </w:r>
      <w:r>
        <w:rPr>
          <w:rFonts w:hint="eastAsia" w:ascii="仿宋_GB2312" w:hAnsi="仿宋_GB2312" w:eastAsia="仿宋_GB2312" w:cs="仿宋_GB2312"/>
          <w:sz w:val="32"/>
          <w:szCs w:val="32"/>
          <w:lang w:val="en-US" w:eastAsia="zh-CN" w:bidi="ar-SA"/>
        </w:rPr>
        <w:t>衔接资金项目形成的资产要严格按照相关规定进行资产确权、移交等后续管理工作，避免国有资产闲置浪费。</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p>
    <w:p>
      <w:pPr>
        <w:pStyle w:val="3"/>
        <w:pageBreakBefore w:val="0"/>
        <w:widowControl w:val="0"/>
        <w:kinsoku/>
        <w:wordWrap/>
        <w:overflowPunct/>
        <w:topLinePunct w:val="0"/>
        <w:autoSpaceDE/>
        <w:autoSpaceDN/>
        <w:bidi w:val="0"/>
        <w:adjustRightInd/>
        <w:snapToGrid/>
        <w:spacing w:line="700" w:lineRule="exact"/>
        <w:ind w:left="960" w:hanging="960" w:hangingChars="30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 xml:space="preserve">     1.德钦县2023年第四批统筹整合财政涉农资金项目绩效目标申报表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pPr>
    </w:p>
    <w:tbl>
      <w:tblPr>
        <w:tblStyle w:val="6"/>
        <w:tblW w:w="82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5"/>
        <w:gridCol w:w="735"/>
        <w:gridCol w:w="553"/>
        <w:gridCol w:w="1510"/>
        <w:gridCol w:w="650"/>
        <w:gridCol w:w="1653"/>
        <w:gridCol w:w="597"/>
        <w:gridCol w:w="24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3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bookmarkStart w:id="0" w:name="_GoBack"/>
            <w:bookmarkEnd w:id="0"/>
            <w:r>
              <w:rPr>
                <w:rFonts w:hint="eastAsia" w:ascii="仿宋_GB2312" w:hAnsi="仿宋_GB2312" w:eastAsia="仿宋_GB2312" w:cs="仿宋_GB2312"/>
                <w:i w:val="0"/>
                <w:color w:val="000000"/>
                <w:kern w:val="0"/>
                <w:sz w:val="24"/>
                <w:szCs w:val="24"/>
                <w:u w:val="none"/>
                <w:lang w:val="en-US" w:eastAsia="zh-CN" w:bidi="ar"/>
              </w:rPr>
              <w:t>附件2</w:t>
            </w:r>
          </w:p>
        </w:tc>
        <w:tc>
          <w:tcPr>
            <w:tcW w:w="735"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53"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51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65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653"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97"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4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62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93" w:type="dxa"/>
            <w:gridSpan w:val="9"/>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宋体" w:hAnsi="宋体" w:eastAsia="宋体" w:cs="宋体"/>
                <w:b/>
                <w:i w:val="0"/>
                <w:color w:val="000000"/>
                <w:kern w:val="0"/>
                <w:sz w:val="28"/>
                <w:szCs w:val="28"/>
                <w:u w:val="none"/>
                <w:lang w:val="en-US" w:eastAsia="zh-CN" w:bidi="ar"/>
              </w:rPr>
              <w:t>德钦县202</w:t>
            </w:r>
            <w:r>
              <w:rPr>
                <w:rFonts w:hint="eastAsia" w:ascii="宋体" w:hAnsi="宋体" w:cs="宋体"/>
                <w:b/>
                <w:i w:val="0"/>
                <w:color w:val="000000"/>
                <w:kern w:val="0"/>
                <w:sz w:val="28"/>
                <w:szCs w:val="28"/>
                <w:u w:val="none"/>
                <w:lang w:val="en-US" w:eastAsia="zh-CN" w:bidi="ar"/>
              </w:rPr>
              <w:t>4</w:t>
            </w:r>
            <w:r>
              <w:rPr>
                <w:rFonts w:hint="eastAsia" w:ascii="宋体" w:hAnsi="宋体" w:eastAsia="宋体" w:cs="宋体"/>
                <w:b/>
                <w:i w:val="0"/>
                <w:color w:val="000000"/>
                <w:kern w:val="0"/>
                <w:sz w:val="28"/>
                <w:szCs w:val="28"/>
                <w:u w:val="none"/>
                <w:lang w:val="en-US" w:eastAsia="zh-CN" w:bidi="ar"/>
              </w:rPr>
              <w:t>年第一批统筹整合财政涉农资金项目绩效目标申报表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293" w:type="dxa"/>
            <w:gridSpan w:val="9"/>
            <w:tcBorders>
              <w:top w:val="nil"/>
              <w:left w:val="nil"/>
              <w:bottom w:val="single" w:color="000000" w:sz="4" w:space="0"/>
              <w:right w:val="nil"/>
            </w:tcBorders>
            <w:shd w:val="clear" w:color="auto" w:fill="FFFFFF"/>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项目名称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夺通村哈格小组、擦洒贡小组农田基础设施项目</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项目负责人及联系电话</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lang w:val="en-US" w:eastAsia="zh-CN"/>
              </w:rPr>
            </w:pPr>
            <w:r>
              <w:rPr>
                <w:rFonts w:hint="eastAsia" w:ascii="仿宋_GB2312" w:hAnsi="仿宋_GB2312" w:eastAsia="仿宋_GB2312" w:cs="仿宋_GB2312"/>
                <w:i w:val="0"/>
                <w:color w:val="000000"/>
                <w:sz w:val="21"/>
                <w:szCs w:val="21"/>
                <w:u w:val="none"/>
                <w:lang w:val="en-US" w:eastAsia="zh-CN"/>
              </w:rPr>
              <w:t>安吾品初13988762111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主管部门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乡村振兴局</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实施单位</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奔子栏镇人民政府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7" w:hRule="atLeast"/>
        </w:trPr>
        <w:tc>
          <w:tcPr>
            <w:tcW w:w="202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资金情况</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年度资金总额：</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highlight w:val="none"/>
                <w:u w:val="none"/>
                <w:lang w:val="en-US" w:eastAsia="zh-CN"/>
              </w:rPr>
            </w:pPr>
            <w:r>
              <w:rPr>
                <w:rFonts w:hint="eastAsia" w:ascii="仿宋_GB2312" w:hAnsi="仿宋_GB2312" w:eastAsia="仿宋_GB2312" w:cs="仿宋_GB2312"/>
                <w:i w:val="0"/>
                <w:color w:val="000000"/>
                <w:sz w:val="21"/>
                <w:szCs w:val="21"/>
                <w:highlight w:val="none"/>
                <w:u w:val="none"/>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highlight w:val="none"/>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其中：财政拨款</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highlight w:val="none"/>
                <w:u w:val="none"/>
                <w:lang w:val="en-US" w:eastAsia="zh-CN"/>
              </w:rPr>
            </w:pPr>
            <w:r>
              <w:rPr>
                <w:rFonts w:hint="eastAsia" w:ascii="仿宋_GB2312" w:hAnsi="仿宋_GB2312" w:eastAsia="仿宋_GB2312" w:cs="仿宋_GB2312"/>
                <w:i w:val="0"/>
                <w:color w:val="000000"/>
                <w:sz w:val="21"/>
                <w:szCs w:val="21"/>
                <w:highlight w:val="none"/>
                <w:u w:val="none"/>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其他资金</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总</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体</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目</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标</w:t>
            </w:r>
          </w:p>
        </w:tc>
        <w:tc>
          <w:tcPr>
            <w:tcW w:w="7558"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shd w:val="clear"/>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735" w:type="dxa"/>
            <w:vMerge w:val="continue"/>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58" w:type="dxa"/>
            <w:gridSpan w:val="8"/>
            <w:tcBorders>
              <w:top w:val="single" w:color="000000" w:sz="4" w:space="0"/>
              <w:left w:val="single" w:color="000000" w:sz="4" w:space="0"/>
              <w:bottom w:val="single" w:color="auto" w:sz="4" w:space="0"/>
              <w:right w:val="single" w:color="000000" w:sz="4" w:space="0"/>
            </w:tcBorders>
            <w:shd w:val="clear" w:color="auto" w:fill="FFFFFF" w:themeFill="background1"/>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sz w:val="21"/>
                <w:szCs w:val="21"/>
                <w:highlight w:val="none"/>
                <w:u w:val="none"/>
              </w:rPr>
              <w:t>提高人居环境质量，改善人民生活条件，提升群众生活幸福感、获得感。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绩</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效</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标</w:t>
            </w: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一级指标</w:t>
            </w: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二级指标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三级指标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产出指标</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数量指标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default" w:ascii="仿宋_GB2312" w:hAnsi="仿宋_GB2312" w:eastAsia="仿宋_GB2312" w:cs="仿宋_GB2312"/>
                <w:i w:val="0"/>
                <w:color w:val="000000"/>
                <w:sz w:val="21"/>
                <w:szCs w:val="21"/>
                <w:u w:val="none"/>
                <w:lang w:val="en-US" w:eastAsia="zh-CN"/>
              </w:rPr>
              <w:t>新建灌溉管道</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default" w:ascii="仿宋_GB2312" w:hAnsi="仿宋_GB2312" w:eastAsia="仿宋_GB2312" w:cs="仿宋_GB2312"/>
                <w:i w:val="0"/>
                <w:color w:val="000000"/>
                <w:sz w:val="21"/>
                <w:szCs w:val="21"/>
                <w:u w:val="none"/>
                <w:lang w:val="en-US" w:eastAsia="zh-CN"/>
              </w:rPr>
              <w:t>1670米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default" w:ascii="仿宋_GB2312" w:hAnsi="仿宋_GB2312" w:eastAsia="仿宋_GB2312" w:cs="仿宋_GB2312"/>
                <w:i w:val="0"/>
                <w:color w:val="000000"/>
                <w:sz w:val="21"/>
                <w:szCs w:val="21"/>
                <w:u w:val="none"/>
                <w:lang w:val="en-US" w:eastAsia="zh-CN"/>
              </w:rPr>
              <w:t>建设50立方过滤池</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default" w:ascii="仿宋_GB2312" w:hAnsi="仿宋_GB2312" w:eastAsia="仿宋_GB2312" w:cs="仿宋_GB2312"/>
                <w:i w:val="0"/>
                <w:color w:val="000000"/>
                <w:sz w:val="21"/>
                <w:szCs w:val="21"/>
                <w:u w:val="none"/>
                <w:lang w:val="en-US" w:eastAsia="zh-CN"/>
              </w:rPr>
              <w:t>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质量指标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kern w:val="2"/>
                <w:sz w:val="21"/>
                <w:szCs w:val="21"/>
                <w:u w:val="none"/>
                <w:lang w:val="en-US" w:eastAsia="zh-CN"/>
              </w:rPr>
              <w:t>使用年限</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21"/>
                <w:szCs w:val="21"/>
                <w:u w:val="none"/>
                <w:lang w:val="en-US" w:eastAsia="zh-CN"/>
              </w:rPr>
            </w:pPr>
            <w:r>
              <w:rPr>
                <w:rFonts w:hint="default" w:ascii="仿宋_GB2312" w:hAnsi="仿宋_GB2312" w:eastAsia="仿宋_GB2312" w:cs="仿宋_GB2312"/>
                <w:i w:val="0"/>
                <w:color w:val="000000"/>
                <w:kern w:val="2"/>
                <w:sz w:val="21"/>
                <w:szCs w:val="21"/>
                <w:u w:val="none"/>
                <w:lang w:val="en-US" w:eastAsia="zh-CN"/>
              </w:rPr>
              <w:t>≥</w:t>
            </w:r>
            <w:r>
              <w:rPr>
                <w:rFonts w:hint="eastAsia" w:ascii="仿宋_GB2312" w:hAnsi="仿宋_GB2312" w:eastAsia="仿宋_GB2312" w:cs="仿宋_GB2312"/>
                <w:i w:val="0"/>
                <w:color w:val="000000"/>
                <w:kern w:val="2"/>
                <w:sz w:val="21"/>
                <w:szCs w:val="21"/>
                <w:u w:val="none"/>
                <w:lang w:val="en-US" w:eastAsia="zh-CN"/>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工程验收合格率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default" w:ascii="仿宋_GB2312" w:hAnsi="仿宋_GB2312" w:eastAsia="仿宋_GB2312" w:cs="仿宋_GB2312"/>
                <w:i w:val="0"/>
                <w:color w:val="000000"/>
                <w:sz w:val="21"/>
                <w:szCs w:val="21"/>
                <w:u w:val="none"/>
                <w:lang w:val="en-US" w:eastAsia="zh-CN"/>
              </w:rPr>
              <w:t>≥</w:t>
            </w:r>
            <w:r>
              <w:rPr>
                <w:rFonts w:hint="eastAsia" w:ascii="仿宋_GB2312" w:hAnsi="仿宋_GB2312" w:eastAsia="仿宋_GB2312" w:cs="仿宋_GB2312"/>
                <w:i w:val="0"/>
                <w:color w:val="000000"/>
                <w:sz w:val="21"/>
                <w:szCs w:val="21"/>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时效指标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kern w:val="2"/>
                <w:sz w:val="21"/>
                <w:szCs w:val="21"/>
                <w:u w:val="none"/>
                <w:lang w:val="en-US" w:eastAsia="zh-CN"/>
              </w:rPr>
              <w:t>完工及时率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kern w:val="2"/>
                <w:sz w:val="21"/>
                <w:szCs w:val="21"/>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成本指标</w:t>
            </w:r>
          </w:p>
        </w:tc>
        <w:tc>
          <w:tcPr>
            <w:tcW w:w="3140" w:type="dxa"/>
            <w:gridSpan w:val="4"/>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tabs>
                <w:tab w:val="left" w:pos="793"/>
              </w:tabs>
              <w:jc w:val="left"/>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项目完成成本</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38万元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社会效益</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w:t>
            </w:r>
          </w:p>
        </w:tc>
        <w:tc>
          <w:tcPr>
            <w:tcW w:w="3140" w:type="dxa"/>
            <w:gridSpan w:val="4"/>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kern w:val="2"/>
                <w:sz w:val="21"/>
                <w:szCs w:val="21"/>
                <w:u w:val="none"/>
                <w:lang w:val="en-US" w:eastAsia="zh-CN"/>
              </w:rPr>
              <w:t>提升群众满意度</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21"/>
                <w:szCs w:val="21"/>
                <w:u w:val="none"/>
                <w:lang w:val="en-US" w:eastAsia="zh-CN"/>
              </w:rPr>
            </w:pPr>
            <w:r>
              <w:rPr>
                <w:rFonts w:hint="default" w:ascii="仿宋_GB2312" w:hAnsi="仿宋_GB2312" w:eastAsia="仿宋_GB2312" w:cs="仿宋_GB2312"/>
                <w:i w:val="0"/>
                <w:color w:val="000000"/>
                <w:kern w:val="2"/>
                <w:sz w:val="21"/>
                <w:szCs w:val="21"/>
                <w:u w:val="none"/>
                <w:lang w:val="en-US" w:eastAsia="zh-CN"/>
              </w:rPr>
              <w:t>≥</w:t>
            </w:r>
            <w:r>
              <w:rPr>
                <w:rFonts w:hint="eastAsia" w:ascii="仿宋_GB2312" w:hAnsi="仿宋_GB2312" w:eastAsia="仿宋_GB2312" w:cs="仿宋_GB2312"/>
                <w:i w:val="0"/>
                <w:color w:val="000000"/>
                <w:kern w:val="2"/>
                <w:sz w:val="21"/>
                <w:szCs w:val="21"/>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可持续影响</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kern w:val="2"/>
                <w:sz w:val="21"/>
                <w:szCs w:val="21"/>
                <w:u w:val="none"/>
                <w:lang w:val="en-US" w:eastAsia="zh-CN"/>
              </w:rPr>
              <w:t>持续影响率</w:t>
            </w:r>
          </w:p>
        </w:tc>
        <w:tc>
          <w:tcPr>
            <w:tcW w:w="1620" w:type="dxa"/>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21"/>
                <w:szCs w:val="21"/>
                <w:u w:val="none"/>
                <w:lang w:val="en-US" w:eastAsia="zh-CN"/>
              </w:rPr>
            </w:pPr>
            <w:r>
              <w:rPr>
                <w:rFonts w:hint="default" w:ascii="仿宋_GB2312" w:hAnsi="仿宋_GB2312" w:eastAsia="仿宋_GB2312" w:cs="仿宋_GB2312"/>
                <w:i w:val="0"/>
                <w:color w:val="000000"/>
                <w:kern w:val="2"/>
                <w:sz w:val="21"/>
                <w:szCs w:val="21"/>
                <w:u w:val="none"/>
                <w:lang w:val="en-US" w:eastAsia="zh-CN"/>
              </w:rPr>
              <w:t>≥</w:t>
            </w:r>
            <w:r>
              <w:rPr>
                <w:rFonts w:hint="eastAsia" w:ascii="仿宋_GB2312" w:hAnsi="仿宋_GB2312" w:eastAsia="仿宋_GB2312" w:cs="仿宋_GB2312"/>
                <w:i w:val="0"/>
                <w:color w:val="000000"/>
                <w:kern w:val="2"/>
                <w:sz w:val="21"/>
                <w:szCs w:val="21"/>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1"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满意度指标</w:t>
            </w: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服务对象</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满意度指标</w:t>
            </w:r>
          </w:p>
        </w:tc>
        <w:tc>
          <w:tcPr>
            <w:tcW w:w="3140" w:type="dxa"/>
            <w:gridSpan w:val="4"/>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提升居民生活质量</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rPr>
            </w:pPr>
            <w:r>
              <w:rPr>
                <w:rFonts w:hint="default" w:ascii="仿宋_GB2312" w:hAnsi="仿宋_GB2312" w:eastAsia="仿宋_GB2312" w:cs="仿宋_GB2312"/>
                <w:i w:val="0"/>
                <w:color w:val="000000"/>
                <w:kern w:val="2"/>
                <w:sz w:val="21"/>
                <w:szCs w:val="21"/>
                <w:u w:val="none"/>
                <w:lang w:val="en-US" w:eastAsia="zh-CN"/>
              </w:rPr>
              <w:t>≥</w:t>
            </w:r>
            <w:r>
              <w:rPr>
                <w:rFonts w:hint="eastAsia" w:ascii="仿宋_GB2312" w:hAnsi="仿宋_GB2312" w:eastAsia="仿宋_GB2312" w:cs="仿宋_GB2312"/>
                <w:i w:val="0"/>
                <w:color w:val="000000"/>
                <w:kern w:val="2"/>
                <w:sz w:val="21"/>
                <w:szCs w:val="21"/>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293" w:type="dxa"/>
            <w:gridSpan w:val="9"/>
            <w:tcBorders>
              <w:top w:val="single" w:color="auto" w:sz="4" w:space="0"/>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经办人（电话）：知诗泽仁   单位负责人：安吾品初      上报日期：2024.1.23</w:t>
            </w:r>
          </w:p>
        </w:tc>
      </w:tr>
    </w:tbl>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E783BC4-A252-46F4-B2E4-B27C839B2D2A}"/>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4206CD5-C7D4-4315-996B-25B92905CB04}"/>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8D8F9B9F-783A-4746-9899-B649518828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8"/>
                              <w:rFonts w:hint="eastAsia" w:ascii="仿宋_GB2312" w:hAnsi="仿宋_GB2312" w:eastAsia="仿宋_GB2312" w:cs="仿宋_GB2312"/>
                              <w:sz w:val="28"/>
                              <w:szCs w:val="28"/>
                              <w:lang w:eastAsia="zh-CN"/>
                            </w:rPr>
                          </w:pPr>
                          <w:r>
                            <w:rPr>
                              <w:rStyle w:val="8"/>
                              <w:rFonts w:hint="eastAsia" w:ascii="仿宋_GB2312" w:hAnsi="仿宋_GB2312" w:eastAsia="仿宋_GB2312" w:cs="仿宋_GB2312"/>
                              <w:sz w:val="28"/>
                              <w:szCs w:val="28"/>
                              <w:lang w:eastAsia="zh-CN"/>
                            </w:rPr>
                            <w:t>—</w:t>
                          </w:r>
                          <w:r>
                            <w:rPr>
                              <w:rStyle w:val="8"/>
                              <w:rFonts w:hint="eastAsia" w:ascii="仿宋_GB2312" w:hAnsi="仿宋_GB2312" w:eastAsia="仿宋_GB2312" w:cs="仿宋_GB2312"/>
                              <w:sz w:val="28"/>
                              <w:szCs w:val="28"/>
                              <w:lang w:val="en-US" w:eastAsia="zh-CN"/>
                            </w:rPr>
                            <w:t>2</w:t>
                          </w:r>
                          <w:r>
                            <w:rPr>
                              <w:rStyle w:val="8"/>
                              <w:rFonts w:hint="eastAsia" w:ascii="仿宋_GB2312" w:hAnsi="仿宋_GB2312" w:eastAsia="仿宋_GB2312" w:cs="仿宋_GB2312"/>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Style w:val="8"/>
                        <w:rFonts w:hint="eastAsia" w:ascii="仿宋_GB2312" w:hAnsi="仿宋_GB2312" w:eastAsia="仿宋_GB2312" w:cs="仿宋_GB2312"/>
                        <w:sz w:val="28"/>
                        <w:szCs w:val="28"/>
                        <w:lang w:eastAsia="zh-CN"/>
                      </w:rPr>
                    </w:pPr>
                    <w:r>
                      <w:rPr>
                        <w:rStyle w:val="8"/>
                        <w:rFonts w:hint="eastAsia" w:ascii="仿宋_GB2312" w:hAnsi="仿宋_GB2312" w:eastAsia="仿宋_GB2312" w:cs="仿宋_GB2312"/>
                        <w:sz w:val="28"/>
                        <w:szCs w:val="28"/>
                        <w:lang w:eastAsia="zh-CN"/>
                      </w:rPr>
                      <w:t>—</w:t>
                    </w:r>
                    <w:r>
                      <w:rPr>
                        <w:rStyle w:val="8"/>
                        <w:rFonts w:hint="eastAsia" w:ascii="仿宋_GB2312" w:hAnsi="仿宋_GB2312" w:eastAsia="仿宋_GB2312" w:cs="仿宋_GB2312"/>
                        <w:sz w:val="28"/>
                        <w:szCs w:val="28"/>
                        <w:lang w:val="en-US" w:eastAsia="zh-CN"/>
                      </w:rPr>
                      <w:t>2</w:t>
                    </w:r>
                    <w:r>
                      <w:rPr>
                        <w:rStyle w:val="8"/>
                        <w:rFonts w:hint="eastAsia" w:ascii="仿宋_GB2312" w:hAnsi="仿宋_GB2312" w:eastAsia="仿宋_GB2312" w:cs="仿宋_GB2312"/>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TVkYTZhNjA3ZmVjOTkzNjhmMzBiMjY0M2I5ZDMifQ=="/>
    <w:docVar w:name="KSO_WPS_MARK_KEY" w:val="1135a015-84cd-416a-84fa-3146a80c5b99"/>
  </w:docVars>
  <w:rsids>
    <w:rsidRoot w:val="00000000"/>
    <w:rsid w:val="0078768E"/>
    <w:rsid w:val="015B6D94"/>
    <w:rsid w:val="0399141D"/>
    <w:rsid w:val="03C50E3C"/>
    <w:rsid w:val="06267647"/>
    <w:rsid w:val="08687FE8"/>
    <w:rsid w:val="08DD2784"/>
    <w:rsid w:val="09615163"/>
    <w:rsid w:val="098D7D07"/>
    <w:rsid w:val="14034D16"/>
    <w:rsid w:val="144533D7"/>
    <w:rsid w:val="18774AAB"/>
    <w:rsid w:val="198509FA"/>
    <w:rsid w:val="1A807414"/>
    <w:rsid w:val="1BD31096"/>
    <w:rsid w:val="256758BD"/>
    <w:rsid w:val="26686A49"/>
    <w:rsid w:val="2CDA29B3"/>
    <w:rsid w:val="2CDF7FCA"/>
    <w:rsid w:val="2E5C3FC8"/>
    <w:rsid w:val="2EC61441"/>
    <w:rsid w:val="2F3B1E2F"/>
    <w:rsid w:val="374C0952"/>
    <w:rsid w:val="3BA80339"/>
    <w:rsid w:val="3C0D06AF"/>
    <w:rsid w:val="3D406863"/>
    <w:rsid w:val="3D6A5BEA"/>
    <w:rsid w:val="3E8B6203"/>
    <w:rsid w:val="42D40179"/>
    <w:rsid w:val="42DE4C95"/>
    <w:rsid w:val="43792748"/>
    <w:rsid w:val="43B40A80"/>
    <w:rsid w:val="44A46D96"/>
    <w:rsid w:val="462211FB"/>
    <w:rsid w:val="46AC6D17"/>
    <w:rsid w:val="48AA54D8"/>
    <w:rsid w:val="4AAE2FA8"/>
    <w:rsid w:val="4BF52F0E"/>
    <w:rsid w:val="4F2C4E99"/>
    <w:rsid w:val="51B11685"/>
    <w:rsid w:val="5402441A"/>
    <w:rsid w:val="55621614"/>
    <w:rsid w:val="55CF47D0"/>
    <w:rsid w:val="5739721D"/>
    <w:rsid w:val="5A0B6BA5"/>
    <w:rsid w:val="5D323FC2"/>
    <w:rsid w:val="5D380EAD"/>
    <w:rsid w:val="5D4E6EAC"/>
    <w:rsid w:val="5DAF5613"/>
    <w:rsid w:val="5DFF2FA3"/>
    <w:rsid w:val="625E13B5"/>
    <w:rsid w:val="646031C3"/>
    <w:rsid w:val="64935DCA"/>
    <w:rsid w:val="64E85052"/>
    <w:rsid w:val="65A33FC7"/>
    <w:rsid w:val="65A610A9"/>
    <w:rsid w:val="67A61834"/>
    <w:rsid w:val="68B00491"/>
    <w:rsid w:val="68FB795E"/>
    <w:rsid w:val="6E9817AB"/>
    <w:rsid w:val="769B34C2"/>
    <w:rsid w:val="79D97847"/>
    <w:rsid w:val="7A8F43AA"/>
    <w:rsid w:val="7DAC0D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99"/>
    <w:pPr>
      <w:keepNext/>
      <w:keepLines/>
      <w:spacing w:line="416" w:lineRule="auto"/>
      <w:outlineLvl w:val="1"/>
    </w:pPr>
    <w:rPr>
      <w:rFonts w:ascii="Cambria" w:hAnsi="Cambria" w:cs="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NormalCharacter"/>
    <w:link w:val="1"/>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1187</Words>
  <Characters>1279</Characters>
  <Lines>0</Lines>
  <Paragraphs>0</Paragraphs>
  <TotalTime>0</TotalTime>
  <ScaleCrop>false</ScaleCrop>
  <LinksUpToDate>false</LinksUpToDate>
  <CharactersWithSpaces>1314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扶桑</cp:lastModifiedBy>
  <dcterms:modified xsi:type="dcterms:W3CDTF">2024-07-19T01:46:25Z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E5C63D1E3BF643159FA37812797C9ABC_13</vt:lpwstr>
  </property>
</Properties>
</file>