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关于下达易地扶贫搬迁贴息资金的通知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德财农〔2024〕73号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德钦县扶贫投资公司</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报请县人民政府常务会议研究同意后</w:t>
      </w:r>
      <w:r>
        <w:rPr>
          <w:rFonts w:hint="eastAsia" w:ascii="仿宋_GB2312" w:hAnsi="仿宋_GB2312" w:eastAsia="仿宋_GB2312" w:cs="仿宋_GB2312"/>
          <w:color w:val="auto"/>
          <w:sz w:val="32"/>
          <w:lang w:val="en-US" w:eastAsia="zh-CN"/>
        </w:rPr>
        <w:t>，根据《迪庆州财政局关于提前下达2024年中央财政衔接推进乡村振兴补助资金的通知》（迪</w:t>
      </w:r>
      <w:r>
        <w:rPr>
          <w:rFonts w:hint="eastAsia" w:ascii="仿宋_GB2312" w:hAnsi="仿宋_GB2312" w:eastAsia="仿宋_GB2312" w:cs="仿宋_GB2312"/>
          <w:sz w:val="32"/>
          <w:szCs w:val="32"/>
          <w:lang w:val="en-US" w:eastAsia="zh-CN"/>
        </w:rPr>
        <w:t>财农〔2023〕108号</w:t>
      </w:r>
      <w:r>
        <w:rPr>
          <w:rFonts w:hint="eastAsia" w:ascii="仿宋_GB2312" w:hAnsi="仿宋_GB2312" w:eastAsia="仿宋_GB2312" w:cs="仿宋_GB2312"/>
          <w:color w:val="auto"/>
          <w:sz w:val="32"/>
          <w:lang w:val="en-US" w:eastAsia="zh-CN"/>
        </w:rPr>
        <w:t>）文件精神，</w:t>
      </w:r>
      <w:r>
        <w:rPr>
          <w:rFonts w:hint="eastAsia" w:ascii="仿宋_GB2312" w:hAnsi="仿宋_GB2312" w:eastAsia="仿宋_GB2312" w:cs="仿宋_GB2312"/>
          <w:color w:val="auto"/>
          <w:sz w:val="32"/>
          <w:lang w:eastAsia="zh-CN"/>
        </w:rPr>
        <w:t>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2024年第一批</w:t>
      </w:r>
      <w:r>
        <w:rPr>
          <w:rFonts w:hint="eastAsia" w:ascii="仿宋_GB2312" w:hAnsi="仿宋_GB2312" w:eastAsia="仿宋_GB2312" w:cs="仿宋_GB2312"/>
          <w:color w:val="auto"/>
          <w:sz w:val="32"/>
          <w:lang w:val="en-US" w:eastAsia="zh-CN"/>
        </w:rPr>
        <w:t>中央财政衔接推进乡村振兴补助资金70万元</w:t>
      </w:r>
      <w:r>
        <w:rPr>
          <w:rFonts w:hint="eastAsia" w:ascii="仿宋_GB2312" w:hAnsi="仿宋_GB2312" w:eastAsia="仿宋_GB2312" w:cs="仿宋_GB2312"/>
          <w:color w:val="auto"/>
          <w:sz w:val="32"/>
          <w:szCs w:val="32"/>
          <w:lang w:val="en-US" w:eastAsia="zh-CN"/>
        </w:rPr>
        <w:t>下达给你单位</w:t>
      </w:r>
      <w:r>
        <w:rPr>
          <w:rFonts w:hint="eastAsia" w:ascii="仿宋_GB2312" w:hAnsi="仿宋_GB2312" w:eastAsia="仿宋_GB2312" w:cs="仿宋_GB2312"/>
          <w:sz w:val="32"/>
          <w:szCs w:val="32"/>
          <w:lang w:val="en-US" w:eastAsia="zh-CN"/>
        </w:rPr>
        <w:t>，专项用于</w:t>
      </w:r>
      <w:r>
        <w:rPr>
          <w:rFonts w:hint="eastAsia" w:ascii="仿宋_GB2312" w:hAnsi="仿宋_GB2312" w:eastAsia="仿宋_GB2312" w:cs="仿宋_GB2312"/>
          <w:color w:val="auto"/>
          <w:sz w:val="32"/>
          <w:lang w:val="en-US" w:eastAsia="zh-CN"/>
        </w:rPr>
        <w:t>德钦县易地扶贫搬迁贴息</w:t>
      </w:r>
      <w:r>
        <w:rPr>
          <w:rFonts w:hint="eastAsia" w:ascii="仿宋_GB2312" w:hAnsi="仿宋_GB2312" w:eastAsia="仿宋_GB2312" w:cs="仿宋_GB2312"/>
          <w:sz w:val="32"/>
          <w:lang w:val="en-US" w:eastAsia="zh-CN"/>
        </w:rPr>
        <w:t>。此款请列入2024年“</w:t>
      </w:r>
      <w:r>
        <w:rPr>
          <w:rFonts w:hint="eastAsia" w:ascii="仿宋_GB2312" w:hAnsi="仿宋_GB2312" w:eastAsia="仿宋_GB2312" w:cs="仿宋_GB2312"/>
          <w:color w:val="auto"/>
          <w:sz w:val="32"/>
          <w:lang w:val="en-US" w:eastAsia="zh-CN"/>
        </w:rPr>
        <w:t>2130507</w:t>
      </w:r>
      <w:r>
        <w:rPr>
          <w:rFonts w:hint="eastAsia" w:ascii="仿宋_GB2312" w:hAnsi="仿宋_GB2312" w:eastAsia="仿宋_GB2312" w:cs="仿宋_GB2312"/>
          <w:color w:val="auto"/>
          <w:sz w:val="32"/>
          <w:szCs w:val="32"/>
          <w:lang w:val="en-US" w:eastAsia="zh-CN"/>
        </w:rPr>
        <w:t>—贷款奖补和贴息</w:t>
      </w:r>
      <w:r>
        <w:rPr>
          <w:rFonts w:hint="eastAsia" w:ascii="仿宋_GB2312" w:hAnsi="仿宋_GB2312" w:eastAsia="仿宋_GB2312" w:cs="仿宋_GB2312"/>
          <w:color w:val="auto"/>
          <w:sz w:val="32"/>
          <w:szCs w:val="32"/>
        </w:rPr>
        <w:t>”预</w:t>
      </w:r>
      <w:r>
        <w:rPr>
          <w:rFonts w:hint="eastAsia" w:ascii="仿宋_GB2312" w:hAnsi="仿宋_GB2312" w:eastAsia="仿宋_GB2312" w:cs="仿宋_GB2312"/>
          <w:color w:val="auto"/>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w:t>
      </w:r>
      <w:r>
        <w:rPr>
          <w:rFonts w:hint="eastAsia" w:ascii="仿宋_GB2312" w:hAnsi="仿宋_GB2312" w:eastAsia="仿宋_GB2312" w:cs="仿宋_GB2312"/>
          <w:b w:val="0"/>
          <w:bCs w:val="0"/>
          <w:color w:val="auto"/>
          <w:sz w:val="32"/>
          <w:szCs w:val="32"/>
          <w:lang w:val="en-US" w:eastAsia="zh-CN"/>
        </w:rPr>
        <w:t>在1月24日</w:t>
      </w:r>
      <w:r>
        <w:rPr>
          <w:rFonts w:hint="eastAsia" w:ascii="仿宋_GB2312" w:hAnsi="仿宋_GB2312" w:eastAsia="仿宋_GB2312" w:cs="仿宋_GB2312"/>
          <w:b w:val="0"/>
          <w:bCs w:val="0"/>
          <w:sz w:val="32"/>
          <w:szCs w:val="32"/>
          <w:lang w:val="en-US" w:eastAsia="zh-CN"/>
        </w:rPr>
        <w:t>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（五）加强资产后续管理。</w:t>
      </w:r>
      <w:r>
        <w:rPr>
          <w:rFonts w:hint="eastAsia" w:ascii="仿宋_GB2312" w:hAnsi="仿宋_GB2312" w:eastAsia="仿宋_GB2312" w:cs="仿宋_GB2312"/>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kern w:val="2"/>
          <w:sz w:val="32"/>
          <w:szCs w:val="32"/>
          <w:lang w:val="en-US" w:eastAsia="zh-CN"/>
        </w:rPr>
        <w:t>德钦县2024年第一批统筹整合财政涉农资金项目绩效目标申报表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lang w:eastAsia="zh-CN"/>
        </w:rPr>
      </w:pPr>
      <w:bookmarkStart w:id="0" w:name="_GoBack"/>
      <w:bookmarkEnd w:id="0"/>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tbl>
      <w:tblPr>
        <w:tblStyle w:val="6"/>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1288"/>
        <w:gridCol w:w="1510"/>
        <w:gridCol w:w="650"/>
        <w:gridCol w:w="2250"/>
        <w:gridCol w:w="2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7"/>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b/>
                <w:i w:val="0"/>
                <w:color w:val="000000"/>
                <w:sz w:val="32"/>
                <w:szCs w:val="32"/>
                <w:u w:val="none"/>
              </w:rPr>
            </w:pPr>
            <w:r>
              <w:rPr>
                <w:rFonts w:hint="eastAsia" w:ascii="宋体" w:hAnsi="宋体" w:eastAsia="宋体" w:cs="宋体"/>
                <w:b/>
                <w:i w:val="0"/>
                <w:color w:val="auto"/>
                <w:kern w:val="0"/>
                <w:sz w:val="28"/>
                <w:szCs w:val="28"/>
                <w:u w:val="none"/>
                <w:lang w:val="en-US" w:eastAsia="zh-CN" w:bidi="ar"/>
              </w:rPr>
              <w:t>德钦县202</w:t>
            </w:r>
            <w:r>
              <w:rPr>
                <w:rFonts w:hint="eastAsia" w:ascii="宋体" w:hAnsi="宋体" w:cs="宋体"/>
                <w:b/>
                <w:i w:val="0"/>
                <w:color w:val="auto"/>
                <w:kern w:val="0"/>
                <w:sz w:val="28"/>
                <w:szCs w:val="28"/>
                <w:u w:val="none"/>
                <w:lang w:val="en-US" w:eastAsia="zh-CN" w:bidi="ar"/>
              </w:rPr>
              <w:t>4</w:t>
            </w:r>
            <w:r>
              <w:rPr>
                <w:rFonts w:hint="eastAsia" w:ascii="宋体" w:hAnsi="宋体" w:eastAsia="宋体" w:cs="宋体"/>
                <w:b/>
                <w:i w:val="0"/>
                <w:color w:val="auto"/>
                <w:kern w:val="0"/>
                <w:sz w:val="28"/>
                <w:szCs w:val="28"/>
                <w:u w:val="none"/>
                <w:lang w:val="en-US" w:eastAsia="zh-CN" w:bidi="ar"/>
              </w:rPr>
              <w:t>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93" w:type="dxa"/>
            <w:gridSpan w:val="7"/>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u w:val="none"/>
              </w:rPr>
              <w:t>偿还2024年易地扶贫搬迁项目贷款第二季度利息</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u w:val="none"/>
                <w:lang w:val="en-US" w:eastAsia="zh-CN"/>
              </w:rPr>
              <w:t>鲁茸只玛13988782656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u w:val="none"/>
                <w:lang w:eastAsia="zh-CN"/>
              </w:rPr>
              <w:t>德钦县国投</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u w:val="none"/>
                <w:lang w:val="en-US" w:eastAsia="zh-CN"/>
              </w:rPr>
              <w:t>德钦县扶贫开发投资有限责任公司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202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资金情况</w:t>
            </w:r>
          </w:p>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年度资金总额：</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其中：财政拨款</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highlight w:val="none"/>
                <w:u w:val="none"/>
                <w:lang w:val="en-US" w:eastAsia="zh-CN"/>
              </w:rPr>
            </w:pPr>
            <w:r>
              <w:rPr>
                <w:rFonts w:hint="default" w:ascii="仿宋_GB2312" w:hAnsi="仿宋_GB2312" w:eastAsia="仿宋_GB2312" w:cs="仿宋_GB2312"/>
                <w:i w:val="0"/>
                <w:color w:val="000000"/>
                <w:sz w:val="21"/>
                <w:highlight w:val="none"/>
                <w:u w:val="none"/>
                <w:lang w:val="en-US" w:eastAsia="zh-CN"/>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其他资金</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总</w:t>
            </w:r>
          </w:p>
          <w:p>
            <w:pPr>
              <w:keepNext w:val="0"/>
              <w:keepLines w:val="0"/>
              <w:widowControl/>
              <w:suppressLineNumbers w:val="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体</w:t>
            </w:r>
          </w:p>
          <w:p>
            <w:pPr>
              <w:keepNext w:val="0"/>
              <w:keepLines w:val="0"/>
              <w:widowControl/>
              <w:suppressLineNumbers w:val="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目</w:t>
            </w:r>
          </w:p>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755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shd w:val="clear"/>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58" w:type="dxa"/>
            <w:gridSpan w:val="6"/>
            <w:tcBorders>
              <w:top w:val="single" w:color="000000" w:sz="4" w:space="0"/>
              <w:left w:val="single" w:color="000000" w:sz="4" w:space="0"/>
              <w:bottom w:val="single" w:color="auto" w:sz="4" w:space="0"/>
              <w:right w:val="single" w:color="000000" w:sz="4" w:space="0"/>
            </w:tcBorders>
            <w:shd w:val="clear" w:color="auto" w:fill="FFFFFF" w:themeFill="background1"/>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u w:val="none"/>
              </w:rPr>
              <w:t>项目贷款金额在2016年1月10日到位后经县政府要求统一整合适用于德钦县易地扶贫搬迁建设中，借款合同中明确要求规定借款人按合同约定，按期足额支付利息，关于请求解决偿还项目贷款2024年第二季度利息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绩</w:t>
            </w:r>
          </w:p>
          <w:p>
            <w:pPr>
              <w:keepNext w:val="0"/>
              <w:keepLines w:val="0"/>
              <w:widowControl/>
              <w:suppressLineNumbers w:val="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效</w:t>
            </w:r>
          </w:p>
          <w:p>
            <w:pPr>
              <w:keepNext w:val="0"/>
              <w:keepLines w:val="0"/>
              <w:widowControl/>
              <w:suppressLineNumbers w:val="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w:t>
            </w:r>
          </w:p>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12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u w:val="none"/>
                <w:lang w:val="en-US" w:eastAsia="zh-CN"/>
              </w:rPr>
              <w:t>本年度偿还利息次数</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u w:val="none"/>
                <w:lang w:val="en-US" w:eastAsia="zh-CN"/>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kern w:val="2"/>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u w:val="none"/>
                <w:lang w:val="en-US" w:eastAsia="zh-CN"/>
              </w:rPr>
              <w:t>偿还利息准确率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tabs>
                <w:tab w:val="left" w:pos="793"/>
              </w:tabs>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sz w:val="21"/>
                <w:u w:val="none"/>
                <w:lang w:val="en-US" w:eastAsia="zh-CN"/>
              </w:rPr>
              <w:t>偿还利息及时</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sz w:val="21"/>
                <w:u w:val="none"/>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3140" w:type="dxa"/>
            <w:gridSpan w:val="3"/>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sz w:val="21"/>
                <w:u w:val="none"/>
                <w:lang w:val="en-US" w:eastAsia="zh-CN"/>
              </w:rPr>
              <w:t>2024年偿还项目贷款第二季度利息资金</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u w:val="none"/>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效益指标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社会效益</w:t>
            </w:r>
          </w:p>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3"/>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sz w:val="21"/>
                <w:u w:val="none"/>
                <w:lang w:val="en-US" w:eastAsia="zh-CN"/>
              </w:rPr>
              <w:t>减轻单位债务负担</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sz w:val="21"/>
                <w:u w:val="none"/>
                <w:lang w:val="en-US" w:eastAsia="zh-CN"/>
              </w:rPr>
              <w:t>进一步减轻负担负担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可持续影响</w:t>
            </w:r>
          </w:p>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sz w:val="21"/>
                <w:u w:val="none"/>
                <w:lang w:val="en-US" w:eastAsia="zh-CN"/>
              </w:rPr>
              <w:t>提高银行信用额度</w:t>
            </w:r>
          </w:p>
        </w:tc>
        <w:tc>
          <w:tcPr>
            <w:tcW w:w="1620" w:type="dxa"/>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sz w:val="21"/>
                <w:u w:val="none"/>
                <w:lang w:val="en-US" w:eastAsia="zh-CN"/>
              </w:rPr>
              <w:t>进一步提高额度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服务对象</w:t>
            </w:r>
          </w:p>
          <w:p>
            <w:pPr>
              <w:keepNext w:val="0"/>
              <w:keepLines w:val="0"/>
              <w:widowControl/>
              <w:suppressLineNumbers w:val="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3140" w:type="dxa"/>
            <w:gridSpan w:val="3"/>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u w:val="none"/>
              </w:rPr>
              <w:t>债权人满意度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r>
              <w:rPr>
                <w:rFonts w:hint="default" w:ascii="仿宋_GB2312" w:hAnsi="仿宋_GB2312" w:eastAsia="仿宋_GB2312" w:cs="仿宋_GB2312"/>
                <w:i w:val="0"/>
                <w:color w:val="000000"/>
                <w:sz w:val="21"/>
                <w:u w:val="none"/>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gridSpan w:val="7"/>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经办人（电话）：13988782656   单位负责人： 鲁茸只玛  上报日期：2024年3月20日</w:t>
            </w: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74C9214-8C8E-45C8-BF38-AE26432F133C}"/>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D4373BC-F53A-45F1-8713-AE62CA54A22E}"/>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9190D75B-B781-4A73-8687-C8C2374CF6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Fonts w:hint="eastAsia" w:ascii="仿宋_GB2312" w:hAnsi="仿宋_GB2312" w:eastAsia="仿宋_GB2312" w:cs="仿宋_GB2312"/>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Style w:val="8"/>
                        <w:rFonts w:hint="eastAsia" w:ascii="仿宋_GB2312" w:hAnsi="仿宋_GB2312" w:eastAsia="仿宋_GB2312" w:cs="仿宋_GB2312"/>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1135a015-84cd-416a-84fa-3146a80c5b99"/>
  </w:docVars>
  <w:rsids>
    <w:rsidRoot w:val="00000000"/>
    <w:rsid w:val="0399141D"/>
    <w:rsid w:val="14034D16"/>
    <w:rsid w:val="144533D7"/>
    <w:rsid w:val="18774AAB"/>
    <w:rsid w:val="1BB53C08"/>
    <w:rsid w:val="25F7130F"/>
    <w:rsid w:val="3BA80339"/>
    <w:rsid w:val="3D6A5BEA"/>
    <w:rsid w:val="3F964213"/>
    <w:rsid w:val="43B40A80"/>
    <w:rsid w:val="51C92CAE"/>
    <w:rsid w:val="5A2904E3"/>
    <w:rsid w:val="5DFF2FA3"/>
    <w:rsid w:val="77A316C7"/>
    <w:rsid w:val="79D97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2">
    <w:name w:val="heading 2"/>
    <w:basedOn w:val="1"/>
    <w:next w:val="1"/>
    <w:qFormat/>
    <w:uiPriority w:val="99"/>
    <w:pPr>
      <w:keepNext/>
      <w:keepLines/>
      <w:spacing w:line="416" w:lineRule="auto"/>
      <w:outlineLvl w:val="1"/>
    </w:pPr>
    <w:rPr>
      <w:rFonts w:ascii="Cambria" w:hAnsi="Cambria" w:cs="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1240</Words>
  <Characters>1338</Characters>
  <Lines>0</Lines>
  <Paragraphs>0</Paragraphs>
  <TotalTime>0</TotalTime>
  <ScaleCrop>false</ScaleCrop>
  <LinksUpToDate>false</LinksUpToDate>
  <CharactersWithSpaces>1365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扶桑</cp:lastModifiedBy>
  <dcterms:modified xsi:type="dcterms:W3CDTF">2024-07-19T02:22:03Z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C00F4210F5B94D6393B679CC848FDFCB</vt:lpwstr>
  </property>
</Properties>
</file>