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b w:val="0"/>
          <w:bCs/>
          <w:sz w:val="44"/>
          <w:szCs w:val="22"/>
          <w:lang w:val="en-US" w:eastAsia="zh-CN"/>
        </w:rPr>
      </w:pPr>
      <w:r>
        <w:rPr>
          <w:rFonts w:hint="eastAsia" w:ascii="方正小标宋简体" w:hAnsi="方正小标宋简体" w:eastAsia="方正小标宋简体" w:cs="方正小标宋简体"/>
          <w:b w:val="0"/>
          <w:bCs/>
          <w:sz w:val="44"/>
          <w:szCs w:val="22"/>
        </w:rPr>
        <w:t>关于</w:t>
      </w:r>
      <w:r>
        <w:rPr>
          <w:rFonts w:hint="eastAsia" w:ascii="方正小标宋简体" w:hAnsi="方正小标宋简体" w:eastAsia="方正小标宋简体" w:cs="方正小标宋简体"/>
          <w:b w:val="0"/>
          <w:bCs/>
          <w:sz w:val="44"/>
          <w:szCs w:val="22"/>
          <w:lang w:eastAsia="zh-CN"/>
        </w:rPr>
        <w:t>下达德钦县霞若通乡三级公路改造建设项目资金</w:t>
      </w:r>
      <w:r>
        <w:rPr>
          <w:rFonts w:hint="eastAsia" w:ascii="方正小标宋简体" w:hAnsi="方正小标宋简体" w:eastAsia="方正小标宋简体" w:cs="方正小标宋简体"/>
          <w:b w:val="0"/>
          <w:bCs/>
          <w:sz w:val="44"/>
          <w:szCs w:val="22"/>
          <w:lang w:val="en-US" w:eastAsia="zh-CN"/>
        </w:rPr>
        <w:t>的通知</w:t>
      </w:r>
    </w:p>
    <w:p>
      <w:pPr>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德财农〔2022〕91号</w:t>
      </w:r>
    </w:p>
    <w:p>
      <w:pPr>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德钦县交通运输局</w:t>
      </w:r>
      <w:r>
        <w:rPr>
          <w:rFonts w:hint="eastAsia" w:ascii="仿宋_GB2312" w:hAnsi="仿宋_GB2312" w:eastAsia="仿宋_GB2312" w:cs="仿宋_GB2312"/>
          <w:sz w:val="32"/>
          <w:szCs w:val="32"/>
        </w:rPr>
        <w:t>：</w:t>
      </w:r>
    </w:p>
    <w:p>
      <w:pPr>
        <w:keepNext w:val="0"/>
        <w:keepLines w:val="0"/>
        <w:pageBreakBefore w:val="0"/>
        <w:widowControl w:val="0"/>
        <w:tabs>
          <w:tab w:val="left" w:pos="720"/>
          <w:tab w:val="left" w:pos="5895"/>
        </w:tabs>
        <w:kinsoku/>
        <w:wordWrap/>
        <w:overflowPunct/>
        <w:topLinePunct w:val="0"/>
        <w:autoSpaceDE/>
        <w:autoSpaceDN/>
        <w:bidi w:val="0"/>
        <w:adjustRightInd/>
        <w:snapToGrid/>
        <w:spacing w:line="240" w:lineRule="auto"/>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rPr>
        <w:t>根据</w:t>
      </w:r>
      <w:r>
        <w:rPr>
          <w:rStyle w:val="7"/>
          <w:rFonts w:hint="eastAsia" w:ascii="Times New Roman" w:hAnsi="Times New Roman" w:eastAsia="仿宋_GB2312"/>
          <w:b w:val="0"/>
          <w:i w:val="0"/>
          <w:caps w:val="0"/>
          <w:color w:val="auto"/>
          <w:spacing w:val="0"/>
          <w:w w:val="100"/>
          <w:kern w:val="2"/>
          <w:sz w:val="32"/>
          <w:szCs w:val="32"/>
          <w:lang w:val="en-US" w:eastAsia="zh-CN" w:bidi="ar-SA"/>
        </w:rPr>
        <w:t>《</w:t>
      </w:r>
      <w:r>
        <w:rPr>
          <w:rFonts w:hint="eastAsia" w:ascii="仿宋_GB2312" w:hAnsi="仿宋_GB2312" w:eastAsia="仿宋_GB2312" w:cs="仿宋_GB2312"/>
          <w:sz w:val="32"/>
          <w:lang w:eastAsia="zh-CN"/>
        </w:rPr>
        <w:t>德钦县</w:t>
      </w:r>
      <w:r>
        <w:rPr>
          <w:rStyle w:val="7"/>
          <w:rFonts w:hint="eastAsia" w:ascii="Times New Roman" w:hAnsi="Times New Roman" w:eastAsia="仿宋_GB2312"/>
          <w:b w:val="0"/>
          <w:i w:val="0"/>
          <w:caps w:val="0"/>
          <w:color w:val="auto"/>
          <w:spacing w:val="0"/>
          <w:w w:val="100"/>
          <w:kern w:val="2"/>
          <w:sz w:val="32"/>
          <w:szCs w:val="32"/>
          <w:lang w:val="en-US" w:eastAsia="zh-CN" w:bidi="ar-SA"/>
        </w:rPr>
        <w:t>巩固脱贫攻坚推进乡村振兴领导小组关于印发</w:t>
      </w:r>
      <w:r>
        <w:rPr>
          <w:rStyle w:val="7"/>
          <w:rFonts w:hint="eastAsia" w:ascii="仿宋_GB2312" w:hAnsi="仿宋_GB2312" w:eastAsia="仿宋_GB2312" w:cs="仿宋_GB2312"/>
          <w:b w:val="0"/>
          <w:i w:val="0"/>
          <w:caps w:val="0"/>
          <w:color w:val="auto"/>
          <w:spacing w:val="0"/>
          <w:w w:val="100"/>
          <w:kern w:val="2"/>
          <w:sz w:val="32"/>
          <w:szCs w:val="32"/>
          <w:lang w:val="en-US" w:eastAsia="zh-CN" w:bidi="ar-SA"/>
        </w:rPr>
        <w:t>&lt;德钦县2022年度统筹整合使用财政涉农资金实施放方案&gt;的通知</w:t>
      </w:r>
      <w:r>
        <w:rPr>
          <w:rStyle w:val="7"/>
          <w:rFonts w:hint="eastAsia" w:ascii="Times New Roman" w:hAnsi="Times New Roman" w:eastAsia="仿宋_GB2312"/>
          <w:b w:val="0"/>
          <w:i w:val="0"/>
          <w:caps w:val="0"/>
          <w:color w:val="auto"/>
          <w:spacing w:val="0"/>
          <w:w w:val="100"/>
          <w:kern w:val="2"/>
          <w:sz w:val="32"/>
          <w:szCs w:val="32"/>
          <w:lang w:val="en-US" w:eastAsia="zh-CN" w:bidi="ar-SA"/>
        </w:rPr>
        <w:t>》德巩</w:t>
      </w:r>
      <w:r>
        <w:rPr>
          <w:rFonts w:hint="eastAsia" w:ascii="仿宋_GB2312" w:hAnsi="仿宋_GB2312" w:eastAsia="仿宋_GB2312" w:cs="仿宋_GB2312"/>
          <w:sz w:val="32"/>
          <w:szCs w:val="32"/>
          <w:lang w:val="en-US" w:eastAsia="zh-CN"/>
        </w:rPr>
        <w:t>固振兴组〔2022〕2号）文件，经县十五届人民政府第4次常务会议研究同意乡村振兴局提交的《德钦县2022年第二批财政涉农资金项目分配方案（送审稿）》，现将我县2022年第二批财政涉农资金3000万元下达给你单位，专项用于德钦县霞若通乡三级公路改造建设项目（详见附件）。此款</w:t>
      </w:r>
      <w:r>
        <w:rPr>
          <w:rFonts w:hint="eastAsia" w:ascii="仿宋_GB2312" w:hAnsi="仿宋_GB2312" w:eastAsia="仿宋_GB2312" w:cs="仿宋_GB2312"/>
          <w:sz w:val="32"/>
          <w:szCs w:val="32"/>
        </w:rPr>
        <w:t>请列入</w:t>
      </w:r>
      <w:r>
        <w:rPr>
          <w:rFonts w:hint="eastAsia" w:ascii="仿宋_GB2312" w:hAnsi="仿宋_GB2312" w:eastAsia="仿宋_GB2312" w:cs="仿宋_GB2312"/>
          <w:sz w:val="32"/>
          <w:szCs w:val="32"/>
          <w:lang w:val="en-US" w:eastAsia="zh-CN"/>
        </w:rPr>
        <w:t>2022年</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2130504—农村基础设施建设</w:t>
      </w:r>
      <w:r>
        <w:rPr>
          <w:rFonts w:hint="eastAsia" w:ascii="仿宋_GB2312" w:hAnsi="仿宋_GB2312" w:eastAsia="仿宋_GB2312" w:cs="仿宋_GB2312"/>
          <w:sz w:val="32"/>
          <w:szCs w:val="32"/>
        </w:rPr>
        <w:t>”预</w:t>
      </w:r>
      <w:r>
        <w:rPr>
          <w:rFonts w:hint="eastAsia" w:ascii="仿宋_GB2312" w:hAnsi="仿宋_GB2312" w:eastAsia="仿宋_GB2312" w:cs="仿宋_GB2312"/>
          <w:sz w:val="32"/>
          <w:szCs w:val="32"/>
          <w:lang w:eastAsia="zh-CN"/>
        </w:rPr>
        <w:t>算支出科目。现有关事项通知如下：</w:t>
      </w:r>
    </w:p>
    <w:p>
      <w:pPr>
        <w:keepNext w:val="0"/>
        <w:keepLines w:val="0"/>
        <w:pageBreakBefore w:val="0"/>
        <w:widowControl w:val="0"/>
        <w:numPr>
          <w:ilvl w:val="0"/>
          <w:numId w:val="0"/>
        </w:numPr>
        <w:tabs>
          <w:tab w:val="left" w:pos="720"/>
          <w:tab w:val="left" w:pos="5895"/>
        </w:tabs>
        <w:kinsoku/>
        <w:wordWrap/>
        <w:overflowPunct/>
        <w:topLinePunct w:val="0"/>
        <w:autoSpaceDE/>
        <w:autoSpaceDN/>
        <w:bidi w:val="0"/>
        <w:adjustRightInd/>
        <w:snapToGrid/>
        <w:spacing w:line="240" w:lineRule="auto"/>
        <w:ind w:firstLine="643"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一、</w:t>
      </w:r>
      <w:r>
        <w:rPr>
          <w:rFonts w:hint="eastAsia" w:ascii="仿宋_GB2312" w:hAnsi="仿宋_GB2312" w:eastAsia="仿宋_GB2312" w:cs="仿宋_GB2312"/>
          <w:sz w:val="32"/>
          <w:szCs w:val="32"/>
          <w:lang w:val="en-US" w:eastAsia="zh-CN"/>
        </w:rPr>
        <w:t>严格按照财农〔2021〕22号、云财农〔2021〕153号《关于继续支持脱贫县统筹整合使用财政涉农资金工作的通知》，将整合资金专项用于与巩固拓展脱贫攻坚推进乡村振兴相关的农业产业或农村基础设施项目，</w:t>
      </w:r>
      <w:r>
        <w:rPr>
          <w:rFonts w:hint="eastAsia" w:ascii="仿宋_GB2312" w:hAnsi="仿宋_GB2312" w:eastAsia="仿宋_GB2312" w:cs="仿宋_GB2312"/>
          <w:b w:val="0"/>
          <w:i w:val="0"/>
          <w:caps w:val="0"/>
          <w:color w:val="333333"/>
          <w:spacing w:val="0"/>
          <w:sz w:val="32"/>
          <w:szCs w:val="32"/>
          <w:shd w:val="clear" w:fill="FFFFFF"/>
        </w:rPr>
        <w:t>严肃财经纪律，</w:t>
      </w:r>
      <w:r>
        <w:rPr>
          <w:rFonts w:hint="eastAsia" w:ascii="仿宋_GB2312" w:hAnsi="仿宋_GB2312" w:eastAsia="仿宋_GB2312" w:cs="仿宋_GB2312"/>
          <w:sz w:val="32"/>
          <w:szCs w:val="32"/>
          <w:lang w:val="en-US" w:eastAsia="zh-CN"/>
        </w:rPr>
        <w:t>严禁擅自扩大资金使用范围，严禁将资金投向整合资金负面清单项目。</w:t>
      </w:r>
    </w:p>
    <w:p>
      <w:pPr>
        <w:keepNext w:val="0"/>
        <w:keepLines w:val="0"/>
        <w:pageBreakBefore w:val="0"/>
        <w:widowControl w:val="0"/>
        <w:numPr>
          <w:ilvl w:val="0"/>
          <w:numId w:val="0"/>
        </w:numPr>
        <w:tabs>
          <w:tab w:val="left" w:pos="720"/>
          <w:tab w:val="left" w:pos="5895"/>
        </w:tabs>
        <w:kinsoku/>
        <w:wordWrap/>
        <w:overflowPunct/>
        <w:topLinePunct w:val="0"/>
        <w:autoSpaceDE/>
        <w:autoSpaceDN/>
        <w:bidi w:val="0"/>
        <w:adjustRightInd/>
        <w:snapToGrid/>
        <w:spacing w:line="240" w:lineRule="auto"/>
        <w:ind w:firstLine="643"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i w:val="0"/>
          <w:caps w:val="0"/>
          <w:color w:val="333333"/>
          <w:spacing w:val="0"/>
          <w:sz w:val="32"/>
          <w:szCs w:val="32"/>
          <w:shd w:val="clear" w:fill="FFFFFF"/>
          <w:lang w:eastAsia="zh-CN"/>
        </w:rPr>
        <w:t>二、</w:t>
      </w:r>
      <w:r>
        <w:rPr>
          <w:rFonts w:hint="eastAsia" w:ascii="仿宋_GB2312" w:hAnsi="仿宋_GB2312" w:eastAsia="仿宋_GB2312" w:cs="仿宋_GB2312"/>
          <w:b w:val="0"/>
          <w:i w:val="0"/>
          <w:caps w:val="0"/>
          <w:color w:val="333333"/>
          <w:spacing w:val="0"/>
          <w:sz w:val="32"/>
          <w:szCs w:val="32"/>
          <w:shd w:val="clear" w:fill="FFFFFF"/>
          <w:lang w:eastAsia="zh-CN"/>
        </w:rPr>
        <w:t>严格按涉农资金</w:t>
      </w:r>
      <w:r>
        <w:rPr>
          <w:rFonts w:hint="eastAsia" w:ascii="仿宋_GB2312" w:hAnsi="仿宋_GB2312" w:eastAsia="仿宋_GB2312" w:cs="仿宋_GB2312"/>
          <w:sz w:val="32"/>
          <w:szCs w:val="32"/>
          <w:lang w:val="en-US" w:eastAsia="zh-CN"/>
        </w:rPr>
        <w:t>支出进度要求管理使用资金，切实加快预算执行进度，并加强资金监管，不得挤占、截留或挪用资金，确保财政涉农整合资金安全高效运行。</w:t>
      </w:r>
    </w:p>
    <w:p>
      <w:pPr>
        <w:keepNext w:val="0"/>
        <w:keepLines w:val="0"/>
        <w:pageBreakBefore w:val="0"/>
        <w:widowControl w:val="0"/>
        <w:numPr>
          <w:ilvl w:val="0"/>
          <w:numId w:val="0"/>
        </w:numPr>
        <w:tabs>
          <w:tab w:val="left" w:pos="720"/>
          <w:tab w:val="left" w:pos="5895"/>
        </w:tabs>
        <w:kinsoku/>
        <w:wordWrap/>
        <w:overflowPunct/>
        <w:topLinePunct w:val="0"/>
        <w:autoSpaceDE/>
        <w:autoSpaceDN/>
        <w:bidi w:val="0"/>
        <w:adjustRightInd/>
        <w:snapToGrid/>
        <w:spacing w:line="240" w:lineRule="auto"/>
        <w:ind w:firstLine="643" w:firstLineChars="200"/>
        <w:jc w:val="both"/>
        <w:textAlignment w:val="auto"/>
        <w:rPr>
          <w:rFonts w:hint="eastAsia" w:ascii="仿宋_GB2312" w:hAnsi="方正仿宋简体" w:eastAsia="仿宋_GB2312" w:cs="方正仿宋简体"/>
          <w:sz w:val="32"/>
          <w:szCs w:val="32"/>
          <w:lang w:val="en-US" w:eastAsia="zh-CN" w:bidi="ar-SA"/>
        </w:rPr>
      </w:pPr>
      <w:r>
        <w:rPr>
          <w:rFonts w:hint="eastAsia" w:ascii="仿宋_GB2312" w:hAnsi="仿宋_GB2312" w:eastAsia="仿宋_GB2312" w:cs="仿宋_GB2312"/>
          <w:b/>
          <w:bCs/>
          <w:i w:val="0"/>
          <w:caps w:val="0"/>
          <w:color w:val="333333"/>
          <w:spacing w:val="0"/>
          <w:sz w:val="32"/>
          <w:szCs w:val="32"/>
          <w:shd w:val="clear" w:fill="FFFFFF"/>
          <w:lang w:eastAsia="zh-CN"/>
        </w:rPr>
        <w:t>三、</w:t>
      </w:r>
      <w:r>
        <w:rPr>
          <w:rFonts w:hint="eastAsia" w:ascii="仿宋_GB2312" w:hAnsi="仿宋_GB2312" w:eastAsia="仿宋_GB2312" w:cs="仿宋_GB2312"/>
          <w:b w:val="0"/>
          <w:i w:val="0"/>
          <w:caps w:val="0"/>
          <w:color w:val="333333"/>
          <w:spacing w:val="0"/>
          <w:sz w:val="32"/>
          <w:szCs w:val="32"/>
          <w:shd w:val="clear" w:fill="FFFFFF"/>
          <w:lang w:eastAsia="zh-CN"/>
        </w:rPr>
        <w:t>严格</w:t>
      </w:r>
      <w:r>
        <w:rPr>
          <w:rFonts w:hint="eastAsia" w:ascii="仿宋_GB2312" w:hAnsi="方正仿宋简体" w:eastAsia="仿宋_GB2312" w:cs="方正仿宋简体"/>
          <w:sz w:val="32"/>
          <w:szCs w:val="32"/>
          <w:lang w:val="en-US" w:eastAsia="zh-CN" w:bidi="ar-SA"/>
        </w:rPr>
        <w:t>按照《云南财政</w:t>
      </w:r>
      <w:r>
        <w:rPr>
          <w:rFonts w:hint="eastAsia" w:ascii="仿宋_GB2312" w:hAnsi="仿宋_GB2312" w:eastAsia="仿宋_GB2312" w:cs="仿宋_GB2312"/>
          <w:sz w:val="32"/>
          <w:szCs w:val="32"/>
          <w:lang w:val="en-US" w:eastAsia="zh-CN" w:bidi="ar-SA"/>
        </w:rPr>
        <w:t>·</w:t>
      </w:r>
      <w:r>
        <w:rPr>
          <w:rFonts w:hint="eastAsia" w:ascii="仿宋_GB2312" w:hAnsi="方正仿宋简体" w:eastAsia="仿宋_GB2312" w:cs="方正仿宋简体"/>
          <w:sz w:val="32"/>
          <w:szCs w:val="32"/>
          <w:lang w:val="en-US" w:eastAsia="zh-CN" w:bidi="ar-SA"/>
        </w:rPr>
        <w:t>预算管理一体化服务平台》的相关要求，在4月28日前挂接项目，并将审核通过的绩效目标表盖章后交到财政局农资股备案。如果不及时申报项目绩效挂接项目，导致资金系统下达时限超过上级要求的，后果由资金使用单位承担，县财政局将县级文件下达时间视为资金拨付至单位的时间，并根据下文日期做好资金台账管理工作。</w:t>
      </w:r>
    </w:p>
    <w:p>
      <w:pPr>
        <w:keepNext w:val="0"/>
        <w:keepLines w:val="0"/>
        <w:pageBreakBefore w:val="0"/>
        <w:widowControl w:val="0"/>
        <w:numPr>
          <w:ilvl w:val="0"/>
          <w:numId w:val="0"/>
        </w:numPr>
        <w:tabs>
          <w:tab w:val="left" w:pos="720"/>
          <w:tab w:val="left" w:pos="5895"/>
        </w:tabs>
        <w:kinsoku/>
        <w:wordWrap/>
        <w:overflowPunct/>
        <w:topLinePunct w:val="0"/>
        <w:autoSpaceDE/>
        <w:autoSpaceDN/>
        <w:bidi w:val="0"/>
        <w:adjustRightInd/>
        <w:snapToGrid/>
        <w:spacing w:line="240" w:lineRule="auto"/>
        <w:ind w:firstLine="640" w:firstLineChars="200"/>
        <w:jc w:val="both"/>
        <w:textAlignment w:val="auto"/>
        <w:rPr>
          <w:rFonts w:hint="eastAsia" w:ascii="仿宋_GB2312" w:hAnsi="方正仿宋简体" w:eastAsia="仿宋_GB2312" w:cs="方正仿宋简体"/>
          <w:sz w:val="32"/>
          <w:szCs w:val="32"/>
          <w:lang w:val="en-US" w:eastAsia="zh-CN" w:bidi="ar-SA"/>
        </w:rPr>
      </w:pPr>
      <w:r>
        <w:rPr>
          <w:rFonts w:hint="eastAsia" w:ascii="仿宋_GB2312" w:hAnsi="方正仿宋简体" w:eastAsia="仿宋_GB2312" w:cs="方正仿宋简体"/>
          <w:sz w:val="32"/>
          <w:szCs w:val="32"/>
          <w:lang w:val="en-US" w:eastAsia="zh-CN" w:bidi="ar-SA"/>
        </w:rPr>
        <w:t>四、严格落实项目资金公开公示、绩效管理、项目验收、后续资产移交管理等相关要求，主动接受各方监督，切实防范和化解风险隐患。</w:t>
      </w:r>
    </w:p>
    <w:p>
      <w:pPr>
        <w:keepNext w:val="0"/>
        <w:keepLines w:val="0"/>
        <w:pageBreakBefore w:val="0"/>
        <w:widowControl w:val="0"/>
        <w:tabs>
          <w:tab w:val="left" w:pos="720"/>
          <w:tab w:val="left" w:pos="5895"/>
        </w:tabs>
        <w:kinsoku/>
        <w:wordWrap/>
        <w:overflowPunct/>
        <w:topLinePunct w:val="0"/>
        <w:autoSpaceDE/>
        <w:autoSpaceDN/>
        <w:bidi w:val="0"/>
        <w:adjustRightInd/>
        <w:snapToGrid/>
        <w:spacing w:line="240" w:lineRule="auto"/>
        <w:ind w:right="480"/>
        <w:jc w:val="both"/>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tabs>
          <w:tab w:val="left" w:pos="720"/>
          <w:tab w:val="left" w:pos="5895"/>
        </w:tabs>
        <w:kinsoku/>
        <w:wordWrap/>
        <w:overflowPunct/>
        <w:topLinePunct w:val="0"/>
        <w:autoSpaceDE/>
        <w:autoSpaceDN/>
        <w:bidi w:val="0"/>
        <w:adjustRightInd/>
        <w:snapToGrid/>
        <w:spacing w:line="240" w:lineRule="auto"/>
        <w:ind w:right="480"/>
        <w:jc w:val="both"/>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tabs>
          <w:tab w:val="left" w:pos="720"/>
          <w:tab w:val="left" w:pos="5895"/>
        </w:tabs>
        <w:kinsoku/>
        <w:wordWrap/>
        <w:overflowPunct/>
        <w:topLinePunct w:val="0"/>
        <w:autoSpaceDE/>
        <w:autoSpaceDN/>
        <w:bidi w:val="0"/>
        <w:adjustRightInd/>
        <w:snapToGrid/>
        <w:spacing w:line="240" w:lineRule="auto"/>
        <w:ind w:right="48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附件：1.德钦县2022年第二批统筹整合财政涉农资金项目建设规划表</w:t>
      </w:r>
    </w:p>
    <w:p>
      <w:pPr>
        <w:keepNext w:val="0"/>
        <w:keepLines w:val="0"/>
        <w:pageBreakBefore w:val="0"/>
        <w:widowControl w:val="0"/>
        <w:tabs>
          <w:tab w:val="left" w:pos="720"/>
          <w:tab w:val="left" w:pos="5895"/>
        </w:tabs>
        <w:kinsoku/>
        <w:wordWrap/>
        <w:overflowPunct/>
        <w:topLinePunct w:val="0"/>
        <w:autoSpaceDE/>
        <w:autoSpaceDN/>
        <w:bidi w:val="0"/>
        <w:adjustRightInd/>
        <w:snapToGrid/>
        <w:spacing w:line="240" w:lineRule="auto"/>
        <w:ind w:right="48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 xml:space="preserve">      2.德钦县2022年第二批统筹整合财政涉农资金项目绩效目标申报表</w:t>
      </w:r>
    </w:p>
    <w:p>
      <w:pPr>
        <w:keepNext w:val="0"/>
        <w:keepLines w:val="0"/>
        <w:pageBreakBefore w:val="0"/>
        <w:widowControl w:val="0"/>
        <w:tabs>
          <w:tab w:val="left" w:pos="720"/>
          <w:tab w:val="left" w:pos="5895"/>
        </w:tabs>
        <w:kinsoku/>
        <w:wordWrap/>
        <w:overflowPunct/>
        <w:topLinePunct w:val="0"/>
        <w:autoSpaceDE/>
        <w:autoSpaceDN/>
        <w:bidi w:val="0"/>
        <w:adjustRightInd/>
        <w:snapToGrid/>
        <w:spacing w:line="240" w:lineRule="auto"/>
        <w:jc w:val="both"/>
        <w:textAlignment w:val="auto"/>
        <w:rPr>
          <w:rFonts w:hint="eastAsia" w:ascii="仿宋_GB2312" w:hAnsi="仿宋_GB2312" w:eastAsia="仿宋_GB2312" w:cs="仿宋_GB2312"/>
          <w:sz w:val="32"/>
          <w:szCs w:val="32"/>
          <w:lang w:eastAsia="zh-CN"/>
        </w:rPr>
      </w:pPr>
    </w:p>
    <w:p>
      <w:pPr>
        <w:keepNext w:val="0"/>
        <w:keepLines w:val="0"/>
        <w:pageBreakBefore w:val="0"/>
        <w:widowControl w:val="0"/>
        <w:tabs>
          <w:tab w:val="left" w:pos="720"/>
          <w:tab w:val="left" w:pos="5895"/>
        </w:tabs>
        <w:kinsoku/>
        <w:wordWrap/>
        <w:overflowPunct/>
        <w:topLinePunct w:val="0"/>
        <w:autoSpaceDE/>
        <w:autoSpaceDN/>
        <w:bidi w:val="0"/>
        <w:adjustRightInd/>
        <w:snapToGrid/>
        <w:spacing w:line="240" w:lineRule="auto"/>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(此件公开）</w:t>
      </w:r>
    </w:p>
    <w:p>
      <w:pPr>
        <w:keepNext w:val="0"/>
        <w:keepLines w:val="0"/>
        <w:pageBreakBefore w:val="0"/>
        <w:widowControl w:val="0"/>
        <w:tabs>
          <w:tab w:val="left" w:pos="720"/>
          <w:tab w:val="left" w:pos="5895"/>
        </w:tabs>
        <w:kinsoku/>
        <w:wordWrap/>
        <w:overflowPunct/>
        <w:topLinePunct w:val="0"/>
        <w:autoSpaceDE/>
        <w:autoSpaceDN/>
        <w:bidi w:val="0"/>
        <w:adjustRightInd/>
        <w:snapToGrid/>
        <w:spacing w:line="240" w:lineRule="auto"/>
        <w:jc w:val="both"/>
        <w:textAlignment w:val="auto"/>
        <w:rPr>
          <w:rFonts w:hint="eastAsia" w:ascii="仿宋_GB2312" w:hAnsi="仿宋_GB2312" w:eastAsia="仿宋_GB2312" w:cs="仿宋_GB2312"/>
          <w:sz w:val="32"/>
          <w:szCs w:val="32"/>
          <w:lang w:eastAsia="zh-CN"/>
        </w:rPr>
      </w:pPr>
    </w:p>
    <w:p>
      <w:pPr>
        <w:keepNext w:val="0"/>
        <w:keepLines w:val="0"/>
        <w:pageBreakBefore w:val="0"/>
        <w:widowControl w:val="0"/>
        <w:tabs>
          <w:tab w:val="left" w:pos="720"/>
          <w:tab w:val="left" w:pos="5895"/>
        </w:tabs>
        <w:kinsoku/>
        <w:wordWrap/>
        <w:overflowPunct/>
        <w:topLinePunct w:val="0"/>
        <w:autoSpaceDE/>
        <w:autoSpaceDN/>
        <w:bidi w:val="0"/>
        <w:adjustRightInd/>
        <w:snapToGrid/>
        <w:spacing w:line="240" w:lineRule="auto"/>
        <w:jc w:val="both"/>
        <w:textAlignment w:val="auto"/>
        <w:rPr>
          <w:rFonts w:hint="eastAsia" w:ascii="仿宋_GB2312" w:hAnsi="仿宋_GB2312" w:eastAsia="仿宋_GB2312" w:cs="仿宋_GB2312"/>
          <w:sz w:val="32"/>
          <w:szCs w:val="32"/>
          <w:lang w:eastAsia="zh-CN"/>
        </w:rPr>
      </w:pPr>
    </w:p>
    <w:p>
      <w:pPr>
        <w:keepNext w:val="0"/>
        <w:keepLines w:val="0"/>
        <w:pageBreakBefore w:val="0"/>
        <w:widowControl w:val="0"/>
        <w:tabs>
          <w:tab w:val="left" w:pos="720"/>
          <w:tab w:val="left" w:pos="5895"/>
        </w:tabs>
        <w:kinsoku/>
        <w:wordWrap/>
        <w:overflowPunct/>
        <w:topLinePunct w:val="0"/>
        <w:autoSpaceDE/>
        <w:autoSpaceDN/>
        <w:bidi w:val="0"/>
        <w:adjustRightInd/>
        <w:snapToGrid/>
        <w:spacing w:line="240" w:lineRule="auto"/>
        <w:jc w:val="both"/>
        <w:textAlignment w:val="auto"/>
        <w:rPr>
          <w:rFonts w:hint="eastAsia" w:ascii="仿宋_GB2312" w:hAnsi="仿宋_GB2312" w:eastAsia="仿宋_GB2312" w:cs="仿宋_GB2312"/>
          <w:sz w:val="32"/>
          <w:szCs w:val="32"/>
          <w:lang w:eastAsia="zh-CN"/>
        </w:rPr>
        <w:sectPr>
          <w:headerReference r:id="rId3" w:type="default"/>
          <w:footerReference r:id="rId4" w:type="default"/>
          <w:footerReference r:id="rId5" w:type="even"/>
          <w:pgSz w:w="11906" w:h="16838"/>
          <w:pgMar w:top="1440" w:right="1800" w:bottom="1440" w:left="1800" w:header="851" w:footer="992" w:gutter="0"/>
          <w:pgNumType w:fmt="decimal"/>
          <w:cols w:space="720"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24"/>
          <w:szCs w:val="24"/>
          <w:lang w:val="en-US" w:eastAsia="zh-CN"/>
        </w:rPr>
      </w:pPr>
      <w:bookmarkStart w:id="0" w:name="_GoBack"/>
      <w:bookmarkEnd w:id="0"/>
      <w:r>
        <w:rPr>
          <w:rFonts w:hint="eastAsia" w:ascii="仿宋_GB2312" w:hAnsi="仿宋_GB2312" w:eastAsia="仿宋_GB2312" w:cs="仿宋_GB2312"/>
          <w:sz w:val="24"/>
          <w:szCs w:val="24"/>
          <w:lang w:eastAsia="zh-CN"/>
        </w:rPr>
        <w:t>附件</w:t>
      </w:r>
      <w:r>
        <w:rPr>
          <w:rFonts w:hint="eastAsia" w:ascii="仿宋_GB2312" w:hAnsi="仿宋_GB2312" w:eastAsia="仿宋_GB2312" w:cs="仿宋_GB2312"/>
          <w:sz w:val="24"/>
          <w:szCs w:val="24"/>
          <w:lang w:val="en-US" w:eastAsia="zh-CN"/>
        </w:rPr>
        <w:t>1</w:t>
      </w:r>
    </w:p>
    <w:p>
      <w:pPr>
        <w:rPr>
          <w:rFonts w:hint="eastAsia" w:ascii="仿宋_GB2312" w:hAnsi="仿宋_GB2312" w:eastAsia="仿宋_GB2312" w:cs="仿宋_GB2312"/>
          <w:sz w:val="20"/>
          <w:szCs w:val="20"/>
          <w:lang w:val="en-US" w:eastAsia="zh-CN"/>
        </w:rPr>
      </w:pPr>
    </w:p>
    <w:tbl>
      <w:tblPr>
        <w:tblStyle w:val="4"/>
        <w:tblW w:w="14190" w:type="dxa"/>
        <w:tblInd w:w="0" w:type="dxa"/>
        <w:shd w:val="clear" w:color="auto" w:fill="auto"/>
        <w:tblLayout w:type="autofit"/>
        <w:tblCellMar>
          <w:top w:w="0" w:type="dxa"/>
          <w:left w:w="0" w:type="dxa"/>
          <w:bottom w:w="0" w:type="dxa"/>
          <w:right w:w="0" w:type="dxa"/>
        </w:tblCellMar>
      </w:tblPr>
      <w:tblGrid>
        <w:gridCol w:w="1080"/>
        <w:gridCol w:w="1080"/>
        <w:gridCol w:w="1080"/>
        <w:gridCol w:w="1080"/>
        <w:gridCol w:w="1080"/>
        <w:gridCol w:w="1740"/>
        <w:gridCol w:w="1080"/>
        <w:gridCol w:w="1080"/>
        <w:gridCol w:w="1515"/>
        <w:gridCol w:w="2610"/>
        <w:gridCol w:w="765"/>
      </w:tblGrid>
      <w:tr>
        <w:tblPrEx>
          <w:shd w:val="clear" w:color="auto" w:fill="auto"/>
          <w:tblCellMar>
            <w:top w:w="0" w:type="dxa"/>
            <w:left w:w="0" w:type="dxa"/>
            <w:bottom w:w="0" w:type="dxa"/>
            <w:right w:w="0" w:type="dxa"/>
          </w:tblCellMar>
        </w:tblPrEx>
        <w:trPr>
          <w:trHeight w:val="285" w:hRule="atLeast"/>
        </w:trPr>
        <w:tc>
          <w:tcPr>
            <w:tcW w:w="1080"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ascii="仿宋_GB2312" w:hAnsi="宋体" w:eastAsia="仿宋_GB2312" w:cs="仿宋_GB2312"/>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74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515"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261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65"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70" w:hRule="atLeast"/>
        </w:trPr>
        <w:tc>
          <w:tcPr>
            <w:tcW w:w="0" w:type="auto"/>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 xml:space="preserve"> </w:t>
            </w:r>
          </w:p>
        </w:tc>
        <w:tc>
          <w:tcPr>
            <w:tcW w:w="0" w:type="auto"/>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74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570" w:hRule="atLeast"/>
        </w:trPr>
        <w:tc>
          <w:tcPr>
            <w:tcW w:w="0" w:type="auto"/>
            <w:gridSpan w:val="11"/>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b/>
                <w:i w:val="0"/>
                <w:color w:val="000000"/>
                <w:sz w:val="44"/>
                <w:szCs w:val="44"/>
                <w:u w:val="none"/>
              </w:rPr>
            </w:pPr>
            <w:r>
              <w:rPr>
                <w:rFonts w:hint="eastAsia" w:ascii="仿宋_GB2312" w:hAnsi="宋体" w:eastAsia="仿宋_GB2312" w:cs="仿宋_GB2312"/>
                <w:b/>
                <w:i w:val="0"/>
                <w:color w:val="000000"/>
                <w:kern w:val="0"/>
                <w:sz w:val="44"/>
                <w:szCs w:val="44"/>
                <w:u w:val="none"/>
                <w:lang w:val="en-US" w:eastAsia="zh-CN" w:bidi="ar"/>
              </w:rPr>
              <w:t>德钦县2022年第二批统筹整合财政涉农资金项目规划表</w:t>
            </w:r>
          </w:p>
        </w:tc>
      </w:tr>
      <w:tr>
        <w:tblPrEx>
          <w:tblCellMar>
            <w:top w:w="0" w:type="dxa"/>
            <w:left w:w="0" w:type="dxa"/>
            <w:bottom w:w="0" w:type="dxa"/>
            <w:right w:w="0" w:type="dxa"/>
          </w:tblCellMar>
        </w:tblPrEx>
        <w:trPr>
          <w:trHeight w:val="540" w:hRule="atLeast"/>
        </w:trPr>
        <w:tc>
          <w:tcPr>
            <w:tcW w:w="1080" w:type="dxa"/>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序号</w:t>
            </w:r>
          </w:p>
        </w:tc>
        <w:tc>
          <w:tcPr>
            <w:tcW w:w="1080" w:type="dxa"/>
            <w:vMerge w:val="restart"/>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项目主管单位</w:t>
            </w:r>
          </w:p>
        </w:tc>
        <w:tc>
          <w:tcPr>
            <w:tcW w:w="1080" w:type="dxa"/>
            <w:vMerge w:val="restart"/>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项目实施单位</w:t>
            </w:r>
          </w:p>
        </w:tc>
        <w:tc>
          <w:tcPr>
            <w:tcW w:w="1080" w:type="dxa"/>
            <w:vMerge w:val="restart"/>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资金下拨单位</w:t>
            </w:r>
          </w:p>
        </w:tc>
        <w:tc>
          <w:tcPr>
            <w:tcW w:w="1080" w:type="dxa"/>
            <w:vMerge w:val="restart"/>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项目名称</w:t>
            </w:r>
          </w:p>
        </w:tc>
        <w:tc>
          <w:tcPr>
            <w:tcW w:w="1740" w:type="dxa"/>
            <w:vMerge w:val="restart"/>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建设内容及规模</w:t>
            </w:r>
          </w:p>
        </w:tc>
        <w:tc>
          <w:tcPr>
            <w:tcW w:w="1080" w:type="dxa"/>
            <w:vMerge w:val="restart"/>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总投入资金（万元）</w:t>
            </w:r>
          </w:p>
        </w:tc>
        <w:tc>
          <w:tcPr>
            <w:tcW w:w="1080" w:type="dxa"/>
            <w:tcBorders>
              <w:top w:val="single" w:color="000000" w:sz="8" w:space="0"/>
              <w:left w:val="nil"/>
              <w:bottom w:val="nil"/>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本次投入资金</w:t>
            </w:r>
          </w:p>
        </w:tc>
        <w:tc>
          <w:tcPr>
            <w:tcW w:w="1515" w:type="dxa"/>
            <w:vMerge w:val="restart"/>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来源文号</w:t>
            </w:r>
          </w:p>
        </w:tc>
        <w:tc>
          <w:tcPr>
            <w:tcW w:w="2610" w:type="dxa"/>
            <w:vMerge w:val="restart"/>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绩效目标</w:t>
            </w:r>
          </w:p>
        </w:tc>
        <w:tc>
          <w:tcPr>
            <w:tcW w:w="765" w:type="dxa"/>
            <w:vMerge w:val="restart"/>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备注</w:t>
            </w:r>
          </w:p>
        </w:tc>
      </w:tr>
      <w:tr>
        <w:tblPrEx>
          <w:tblCellMar>
            <w:top w:w="0" w:type="dxa"/>
            <w:left w:w="0" w:type="dxa"/>
            <w:bottom w:w="0" w:type="dxa"/>
            <w:right w:w="0" w:type="dxa"/>
          </w:tblCellMar>
        </w:tblPrEx>
        <w:trPr>
          <w:trHeight w:val="285" w:hRule="atLeast"/>
        </w:trPr>
        <w:tc>
          <w:tcPr>
            <w:tcW w:w="1080"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1"/>
                <w:szCs w:val="21"/>
                <w:u w:val="none"/>
              </w:rPr>
            </w:pPr>
          </w:p>
        </w:tc>
        <w:tc>
          <w:tcPr>
            <w:tcW w:w="1080" w:type="dxa"/>
            <w:vMerge w:val="continue"/>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1"/>
                <w:szCs w:val="21"/>
                <w:u w:val="none"/>
              </w:rPr>
            </w:pPr>
          </w:p>
        </w:tc>
        <w:tc>
          <w:tcPr>
            <w:tcW w:w="1080" w:type="dxa"/>
            <w:vMerge w:val="continue"/>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1"/>
                <w:szCs w:val="21"/>
                <w:u w:val="none"/>
              </w:rPr>
            </w:pPr>
          </w:p>
        </w:tc>
        <w:tc>
          <w:tcPr>
            <w:tcW w:w="1080" w:type="dxa"/>
            <w:vMerge w:val="continue"/>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1"/>
                <w:szCs w:val="21"/>
                <w:u w:val="none"/>
              </w:rPr>
            </w:pPr>
          </w:p>
        </w:tc>
        <w:tc>
          <w:tcPr>
            <w:tcW w:w="1080" w:type="dxa"/>
            <w:vMerge w:val="continue"/>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1"/>
                <w:szCs w:val="21"/>
                <w:u w:val="none"/>
              </w:rPr>
            </w:pPr>
          </w:p>
        </w:tc>
        <w:tc>
          <w:tcPr>
            <w:tcW w:w="1740" w:type="dxa"/>
            <w:vMerge w:val="continue"/>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1"/>
                <w:szCs w:val="21"/>
                <w:u w:val="none"/>
              </w:rPr>
            </w:pPr>
          </w:p>
        </w:tc>
        <w:tc>
          <w:tcPr>
            <w:tcW w:w="1080" w:type="dxa"/>
            <w:vMerge w:val="continue"/>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1"/>
                <w:szCs w:val="21"/>
                <w:u w:val="none"/>
              </w:rPr>
            </w:pPr>
          </w:p>
        </w:tc>
        <w:tc>
          <w:tcPr>
            <w:tcW w:w="108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（万元）</w:t>
            </w:r>
          </w:p>
        </w:tc>
        <w:tc>
          <w:tcPr>
            <w:tcW w:w="1515" w:type="dxa"/>
            <w:vMerge w:val="continue"/>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1"/>
                <w:szCs w:val="21"/>
                <w:u w:val="none"/>
              </w:rPr>
            </w:pPr>
          </w:p>
        </w:tc>
        <w:tc>
          <w:tcPr>
            <w:tcW w:w="2610" w:type="dxa"/>
            <w:vMerge w:val="continue"/>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1"/>
                <w:szCs w:val="21"/>
                <w:u w:val="none"/>
              </w:rPr>
            </w:pPr>
          </w:p>
        </w:tc>
        <w:tc>
          <w:tcPr>
            <w:tcW w:w="765" w:type="dxa"/>
            <w:vMerge w:val="continue"/>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1"/>
                <w:szCs w:val="21"/>
                <w:u w:val="none"/>
              </w:rPr>
            </w:pPr>
          </w:p>
        </w:tc>
      </w:tr>
      <w:tr>
        <w:tblPrEx>
          <w:tblCellMar>
            <w:top w:w="0" w:type="dxa"/>
            <w:left w:w="0" w:type="dxa"/>
            <w:bottom w:w="0" w:type="dxa"/>
            <w:right w:w="0" w:type="dxa"/>
          </w:tblCellMar>
        </w:tblPrEx>
        <w:trPr>
          <w:trHeight w:val="4260" w:hRule="atLeast"/>
        </w:trPr>
        <w:tc>
          <w:tcPr>
            <w:tcW w:w="0" w:type="auto"/>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1</w:t>
            </w:r>
          </w:p>
        </w:tc>
        <w:tc>
          <w:tcPr>
            <w:tcW w:w="108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德钦县交通运输局</w:t>
            </w:r>
          </w:p>
        </w:tc>
        <w:tc>
          <w:tcPr>
            <w:tcW w:w="108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德钦县交通运输局</w:t>
            </w:r>
          </w:p>
        </w:tc>
        <w:tc>
          <w:tcPr>
            <w:tcW w:w="108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德钦县交通运输局</w:t>
            </w:r>
          </w:p>
        </w:tc>
        <w:tc>
          <w:tcPr>
            <w:tcW w:w="108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sz w:val="21"/>
                <w:szCs w:val="21"/>
                <w:u w:val="none"/>
                <w:lang w:eastAsia="zh-CN"/>
              </w:rPr>
              <w:t>德钦县霞若通乡三级公路改造建设项目</w:t>
            </w:r>
          </w:p>
        </w:tc>
        <w:tc>
          <w:tcPr>
            <w:tcW w:w="174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ind w:firstLineChars="200"/>
              <w:jc w:val="left"/>
              <w:textAlignment w:val="center"/>
              <w:rPr>
                <w:rFonts w:hint="default" w:ascii="仿宋_GB2312" w:hAnsi="宋体" w:eastAsia="仿宋_GB2312" w:cs="仿宋_GB2312"/>
                <w:i w:val="0"/>
                <w:color w:val="000000"/>
                <w:sz w:val="24"/>
                <w:szCs w:val="24"/>
                <w:u w:val="none"/>
                <w:lang w:val="en-US"/>
              </w:rPr>
            </w:pPr>
            <w:r>
              <w:rPr>
                <w:rFonts w:hint="eastAsia" w:ascii="仿宋_GB2312" w:hAnsi="宋体" w:eastAsia="仿宋_GB2312" w:cs="仿宋_GB2312"/>
                <w:i w:val="0"/>
                <w:color w:val="000000"/>
                <w:kern w:val="0"/>
                <w:sz w:val="24"/>
                <w:szCs w:val="24"/>
                <w:u w:val="none"/>
                <w:lang w:val="en-US" w:eastAsia="zh-CN" w:bidi="ar"/>
              </w:rPr>
              <w:t>拖顶乡至霞若乡路线，按三级公路标准建设.</w:t>
            </w:r>
          </w:p>
        </w:tc>
        <w:tc>
          <w:tcPr>
            <w:tcW w:w="108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3000</w:t>
            </w:r>
          </w:p>
        </w:tc>
        <w:tc>
          <w:tcPr>
            <w:tcW w:w="108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3000</w:t>
            </w:r>
          </w:p>
        </w:tc>
        <w:tc>
          <w:tcPr>
            <w:tcW w:w="151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迪财农〔2021〕73号（2022年中央财政衔接推进乡村振兴补助资金预算）</w:t>
            </w:r>
          </w:p>
        </w:tc>
        <w:tc>
          <w:tcPr>
            <w:tcW w:w="261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按照C25水泥混凝土路面硬化标准投入建设，建设18.664公里通乡三级公路改造，待工程完工后，届时可解决霞若乡、拖顶乡9511人的出行安全问题。</w:t>
            </w: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bl>
    <w:p>
      <w:pPr>
        <w:jc w:val="both"/>
        <w:rPr>
          <w:rFonts w:hint="eastAsia" w:ascii="仿宋_GB2312" w:hAnsi="仿宋_GB2312" w:eastAsia="仿宋_GB2312" w:cs="仿宋_GB2312"/>
          <w:b/>
          <w:bCs/>
          <w:sz w:val="24"/>
          <w:szCs w:val="24"/>
          <w:lang w:val="en-US" w:eastAsia="zh-CN"/>
        </w:rPr>
      </w:pPr>
    </w:p>
    <w:p>
      <w:pPr>
        <w:jc w:val="both"/>
        <w:rPr>
          <w:rFonts w:hint="eastAsia" w:ascii="仿宋_GB2312" w:hAnsi="仿宋_GB2312" w:eastAsia="仿宋_GB2312" w:cs="仿宋_GB2312"/>
          <w:b/>
          <w:bCs/>
          <w:sz w:val="24"/>
          <w:szCs w:val="24"/>
          <w:lang w:val="en-US" w:eastAsia="zh-CN"/>
        </w:rPr>
      </w:pPr>
    </w:p>
    <w:p>
      <w:pPr>
        <w:jc w:val="both"/>
        <w:rPr>
          <w:rFonts w:hint="eastAsia" w:ascii="仿宋_GB2312" w:hAnsi="仿宋_GB2312" w:eastAsia="仿宋_GB2312" w:cs="仿宋_GB2312"/>
          <w:b/>
          <w:bCs/>
          <w:sz w:val="24"/>
          <w:szCs w:val="24"/>
          <w:lang w:val="en-US" w:eastAsia="zh-CN"/>
        </w:rPr>
      </w:pPr>
    </w:p>
    <w:p>
      <w:pPr>
        <w:jc w:val="both"/>
        <w:rPr>
          <w:rFonts w:hint="eastAsia" w:ascii="仿宋_GB2312" w:hAnsi="仿宋_GB2312" w:eastAsia="仿宋_GB2312" w:cs="仿宋_GB2312"/>
          <w:b/>
          <w:bCs/>
          <w:sz w:val="24"/>
          <w:szCs w:val="24"/>
          <w:lang w:val="en-US" w:eastAsia="zh-CN"/>
        </w:rPr>
        <w:sectPr>
          <w:headerReference r:id="rId6" w:type="default"/>
          <w:footerReference r:id="rId7" w:type="default"/>
          <w:pgSz w:w="16838" w:h="11906" w:orient="landscape"/>
          <w:pgMar w:top="1800" w:right="1440" w:bottom="1800" w:left="1440" w:header="851" w:footer="992" w:gutter="0"/>
          <w:pgNumType w:fmt="decimal" w:start="4"/>
          <w:cols w:space="720" w:num="1"/>
          <w:docGrid w:type="lines" w:linePitch="312" w:charSpace="0"/>
        </w:sectPr>
      </w:pPr>
    </w:p>
    <w:tbl>
      <w:tblPr>
        <w:tblStyle w:val="4"/>
        <w:tblW w:w="7560" w:type="dxa"/>
        <w:tblInd w:w="0" w:type="dxa"/>
        <w:shd w:val="clear" w:color="auto" w:fill="auto"/>
        <w:tblLayout w:type="autofit"/>
        <w:tblCellMar>
          <w:top w:w="0" w:type="dxa"/>
          <w:left w:w="0" w:type="dxa"/>
          <w:bottom w:w="0" w:type="dxa"/>
          <w:right w:w="0" w:type="dxa"/>
        </w:tblCellMar>
      </w:tblPr>
      <w:tblGrid>
        <w:gridCol w:w="1080"/>
        <w:gridCol w:w="1080"/>
        <w:gridCol w:w="1080"/>
        <w:gridCol w:w="1080"/>
        <w:gridCol w:w="1080"/>
        <w:gridCol w:w="1080"/>
        <w:gridCol w:w="1080"/>
      </w:tblGrid>
      <w:tr>
        <w:tblPrEx>
          <w:shd w:val="clear" w:color="auto" w:fill="auto"/>
          <w:tblCellMar>
            <w:top w:w="0" w:type="dxa"/>
            <w:left w:w="0" w:type="dxa"/>
            <w:bottom w:w="0" w:type="dxa"/>
            <w:right w:w="0" w:type="dxa"/>
          </w:tblCellMar>
        </w:tblPrEx>
        <w:trPr>
          <w:trHeight w:val="420" w:hRule="atLeast"/>
        </w:trPr>
        <w:tc>
          <w:tcPr>
            <w:tcW w:w="7560" w:type="dxa"/>
            <w:gridSpan w:val="7"/>
            <w:tcBorders>
              <w:top w:val="nil"/>
              <w:left w:val="nil"/>
              <w:bottom w:val="nil"/>
              <w:right w:val="nil"/>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仿宋_GB2312" w:hAnsi="宋体" w:eastAsia="仿宋_GB2312" w:cs="仿宋_GB2312"/>
                <w:b/>
                <w:i w:val="0"/>
                <w:color w:val="000000"/>
                <w:sz w:val="32"/>
                <w:szCs w:val="32"/>
                <w:u w:val="none"/>
              </w:rPr>
            </w:pPr>
            <w:r>
              <w:rPr>
                <w:rFonts w:hint="eastAsia" w:ascii="仿宋_GB2312" w:hAnsi="宋体" w:eastAsia="仿宋_GB2312" w:cs="仿宋_GB2312"/>
                <w:b/>
                <w:i w:val="0"/>
                <w:color w:val="000000"/>
                <w:kern w:val="0"/>
                <w:sz w:val="32"/>
                <w:szCs w:val="32"/>
                <w:u w:val="none"/>
                <w:lang w:val="en-US" w:eastAsia="zh-CN" w:bidi="ar"/>
              </w:rPr>
              <w:t>附件二</w:t>
            </w:r>
          </w:p>
        </w:tc>
      </w:tr>
      <w:tr>
        <w:tblPrEx>
          <w:shd w:val="clear" w:color="auto" w:fill="auto"/>
          <w:tblCellMar>
            <w:top w:w="0" w:type="dxa"/>
            <w:left w:w="0" w:type="dxa"/>
            <w:bottom w:w="0" w:type="dxa"/>
            <w:right w:w="0" w:type="dxa"/>
          </w:tblCellMar>
        </w:tblPrEx>
        <w:trPr>
          <w:trHeight w:val="825" w:hRule="atLeast"/>
        </w:trPr>
        <w:tc>
          <w:tcPr>
            <w:tcW w:w="7560" w:type="dxa"/>
            <w:gridSpan w:val="7"/>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b/>
                <w:i w:val="0"/>
                <w:color w:val="000000"/>
                <w:sz w:val="32"/>
                <w:szCs w:val="32"/>
                <w:u w:val="none"/>
              </w:rPr>
            </w:pPr>
            <w:r>
              <w:rPr>
                <w:rFonts w:hint="eastAsia" w:ascii="仿宋_GB2312" w:hAnsi="宋体" w:eastAsia="仿宋_GB2312" w:cs="仿宋_GB2312"/>
                <w:b/>
                <w:i w:val="0"/>
                <w:color w:val="000000"/>
                <w:kern w:val="0"/>
                <w:sz w:val="32"/>
                <w:szCs w:val="32"/>
                <w:u w:val="none"/>
                <w:lang w:val="en-US" w:eastAsia="zh-CN" w:bidi="ar"/>
              </w:rPr>
              <w:t>德钦县2022年第二批统筹整合财政涉农资金项目绩效目标申报表</w:t>
            </w:r>
          </w:p>
        </w:tc>
      </w:tr>
      <w:tr>
        <w:tblPrEx>
          <w:shd w:val="clear" w:color="auto" w:fill="auto"/>
          <w:tblCellMar>
            <w:top w:w="0" w:type="dxa"/>
            <w:left w:w="0" w:type="dxa"/>
            <w:bottom w:w="0" w:type="dxa"/>
            <w:right w:w="0" w:type="dxa"/>
          </w:tblCellMar>
        </w:tblPrEx>
        <w:trPr>
          <w:trHeight w:val="300" w:hRule="atLeast"/>
        </w:trPr>
        <w:tc>
          <w:tcPr>
            <w:tcW w:w="7560" w:type="dxa"/>
            <w:gridSpan w:val="7"/>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（2022 年度）</w:t>
            </w:r>
          </w:p>
        </w:tc>
      </w:tr>
      <w:tr>
        <w:tblPrEx>
          <w:shd w:val="clear" w:color="auto" w:fill="auto"/>
          <w:tblCellMar>
            <w:top w:w="0" w:type="dxa"/>
            <w:left w:w="0" w:type="dxa"/>
            <w:bottom w:w="0" w:type="dxa"/>
            <w:right w:w="0" w:type="dxa"/>
          </w:tblCellMar>
        </w:tblPrEx>
        <w:trPr>
          <w:trHeight w:val="795" w:hRule="atLeast"/>
        </w:trPr>
        <w:tc>
          <w:tcPr>
            <w:tcW w:w="2160" w:type="dxa"/>
            <w:gridSpan w:val="2"/>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项目名称</w:t>
            </w:r>
          </w:p>
        </w:tc>
        <w:tc>
          <w:tcPr>
            <w:tcW w:w="2160" w:type="dxa"/>
            <w:gridSpan w:val="2"/>
            <w:tcBorders>
              <w:top w:val="single" w:color="000000" w:sz="8" w:space="0"/>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德钦县霞若通乡三级公路改造建设项目</w:t>
            </w:r>
          </w:p>
        </w:tc>
        <w:tc>
          <w:tcPr>
            <w:tcW w:w="1080" w:type="dxa"/>
            <w:tcBorders>
              <w:top w:val="single" w:color="000000" w:sz="8" w:space="0"/>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项目负责人及联系电话</w:t>
            </w:r>
          </w:p>
        </w:tc>
        <w:tc>
          <w:tcPr>
            <w:tcW w:w="2160" w:type="dxa"/>
            <w:gridSpan w:val="2"/>
            <w:tcBorders>
              <w:top w:val="single" w:color="000000" w:sz="8" w:space="0"/>
              <w:left w:val="nil"/>
              <w:bottom w:val="single" w:color="000000" w:sz="8" w:space="0"/>
              <w:right w:val="single" w:color="000000" w:sz="8" w:space="0"/>
            </w:tcBorders>
            <w:shd w:val="clear" w:color="auto" w:fill="FFFFFF"/>
            <w:tcMar>
              <w:top w:w="15" w:type="dxa"/>
              <w:left w:w="15" w:type="dxa"/>
              <w:right w:w="15" w:type="dxa"/>
            </w:tcMar>
            <w:vAlign w:val="center"/>
          </w:tcPr>
          <w:p>
            <w:pPr>
              <w:jc w:val="both"/>
              <w:rPr>
                <w:rFonts w:hint="eastAsia" w:ascii="仿宋_GB2312" w:hAnsi="宋体"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525" w:hRule="atLeast"/>
        </w:trPr>
        <w:tc>
          <w:tcPr>
            <w:tcW w:w="2160" w:type="dxa"/>
            <w:gridSpan w:val="2"/>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主管部门</w:t>
            </w:r>
          </w:p>
        </w:tc>
        <w:tc>
          <w:tcPr>
            <w:tcW w:w="2160" w:type="dxa"/>
            <w:gridSpan w:val="2"/>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center"/>
              <w:rPr>
                <w:rFonts w:hint="eastAsia" w:ascii="仿宋_GB2312" w:hAnsi="宋体" w:eastAsia="仿宋_GB2312" w:cs="仿宋_GB2312"/>
                <w:i w:val="0"/>
                <w:color w:val="000000"/>
                <w:sz w:val="21"/>
                <w:szCs w:val="21"/>
                <w:u w:val="none"/>
              </w:rPr>
            </w:pPr>
          </w:p>
        </w:tc>
        <w:tc>
          <w:tcPr>
            <w:tcW w:w="108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实施单位</w:t>
            </w:r>
          </w:p>
        </w:tc>
        <w:tc>
          <w:tcPr>
            <w:tcW w:w="2160" w:type="dxa"/>
            <w:gridSpan w:val="2"/>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云南省德钦县交通运输局</w:t>
            </w:r>
          </w:p>
        </w:tc>
      </w:tr>
      <w:tr>
        <w:tblPrEx>
          <w:shd w:val="clear" w:color="auto" w:fill="auto"/>
          <w:tblCellMar>
            <w:top w:w="0" w:type="dxa"/>
            <w:left w:w="0" w:type="dxa"/>
            <w:bottom w:w="0" w:type="dxa"/>
            <w:right w:w="0" w:type="dxa"/>
          </w:tblCellMar>
        </w:tblPrEx>
        <w:trPr>
          <w:trHeight w:val="300" w:hRule="atLeast"/>
        </w:trPr>
        <w:tc>
          <w:tcPr>
            <w:tcW w:w="2160" w:type="dxa"/>
            <w:gridSpan w:val="2"/>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资金情况</w:t>
            </w:r>
          </w:p>
        </w:tc>
        <w:tc>
          <w:tcPr>
            <w:tcW w:w="2160" w:type="dxa"/>
            <w:gridSpan w:val="2"/>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年度资金总额：</w:t>
            </w:r>
          </w:p>
        </w:tc>
        <w:tc>
          <w:tcPr>
            <w:tcW w:w="3240" w:type="dxa"/>
            <w:gridSpan w:val="3"/>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3000</w:t>
            </w:r>
          </w:p>
        </w:tc>
      </w:tr>
      <w:tr>
        <w:tblPrEx>
          <w:shd w:val="clear" w:color="auto" w:fill="auto"/>
          <w:tblCellMar>
            <w:top w:w="0" w:type="dxa"/>
            <w:left w:w="0" w:type="dxa"/>
            <w:bottom w:w="0" w:type="dxa"/>
            <w:right w:w="0" w:type="dxa"/>
          </w:tblCellMar>
        </w:tblPrEx>
        <w:trPr>
          <w:trHeight w:val="525" w:hRule="atLeast"/>
        </w:trPr>
        <w:tc>
          <w:tcPr>
            <w:tcW w:w="2160" w:type="dxa"/>
            <w:gridSpan w:val="2"/>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（万元）</w:t>
            </w:r>
          </w:p>
        </w:tc>
        <w:tc>
          <w:tcPr>
            <w:tcW w:w="2160" w:type="dxa"/>
            <w:gridSpan w:val="2"/>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 xml:space="preserve">       其中：财政拨款</w:t>
            </w:r>
          </w:p>
        </w:tc>
        <w:tc>
          <w:tcPr>
            <w:tcW w:w="3240" w:type="dxa"/>
            <w:gridSpan w:val="3"/>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3000</w:t>
            </w:r>
          </w:p>
        </w:tc>
      </w:tr>
      <w:tr>
        <w:tblPrEx>
          <w:shd w:val="clear" w:color="auto" w:fill="auto"/>
          <w:tblCellMar>
            <w:top w:w="0" w:type="dxa"/>
            <w:left w:w="0" w:type="dxa"/>
            <w:bottom w:w="0" w:type="dxa"/>
            <w:right w:w="0" w:type="dxa"/>
          </w:tblCellMar>
        </w:tblPrEx>
        <w:trPr>
          <w:trHeight w:val="525" w:hRule="atLeast"/>
        </w:trPr>
        <w:tc>
          <w:tcPr>
            <w:tcW w:w="0" w:type="auto"/>
            <w:gridSpan w:val="2"/>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jc w:val="both"/>
              <w:rPr>
                <w:rFonts w:hint="eastAsia" w:ascii="宋体" w:hAnsi="宋体" w:eastAsia="宋体" w:cs="宋体"/>
                <w:i w:val="0"/>
                <w:color w:val="000000"/>
                <w:sz w:val="22"/>
                <w:szCs w:val="22"/>
                <w:u w:val="none"/>
              </w:rPr>
            </w:pPr>
          </w:p>
        </w:tc>
        <w:tc>
          <w:tcPr>
            <w:tcW w:w="2160" w:type="dxa"/>
            <w:gridSpan w:val="2"/>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 xml:space="preserve">             其他资金</w:t>
            </w:r>
          </w:p>
        </w:tc>
        <w:tc>
          <w:tcPr>
            <w:tcW w:w="3240" w:type="dxa"/>
            <w:gridSpan w:val="3"/>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center"/>
              <w:rPr>
                <w:rFonts w:hint="eastAsia" w:ascii="仿宋_GB2312" w:hAnsi="宋体"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300" w:hRule="atLeast"/>
        </w:trPr>
        <w:tc>
          <w:tcPr>
            <w:tcW w:w="1080" w:type="dxa"/>
            <w:tcBorders>
              <w:top w:val="nil"/>
              <w:left w:val="single" w:color="000000" w:sz="8" w:space="0"/>
              <w:bottom w:val="nil"/>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总</w:t>
            </w:r>
          </w:p>
        </w:tc>
        <w:tc>
          <w:tcPr>
            <w:tcW w:w="6480" w:type="dxa"/>
            <w:gridSpan w:val="6"/>
            <w:vMerge w:val="restart"/>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年度目标</w:t>
            </w:r>
          </w:p>
        </w:tc>
      </w:tr>
      <w:tr>
        <w:tblPrEx>
          <w:shd w:val="clear" w:color="auto" w:fill="auto"/>
          <w:tblCellMar>
            <w:top w:w="0" w:type="dxa"/>
            <w:left w:w="0" w:type="dxa"/>
            <w:bottom w:w="0" w:type="dxa"/>
            <w:right w:w="0" w:type="dxa"/>
          </w:tblCellMar>
        </w:tblPrEx>
        <w:trPr>
          <w:trHeight w:val="285" w:hRule="atLeast"/>
        </w:trPr>
        <w:tc>
          <w:tcPr>
            <w:tcW w:w="1080" w:type="dxa"/>
            <w:tcBorders>
              <w:top w:val="nil"/>
              <w:left w:val="single" w:color="000000" w:sz="8" w:space="0"/>
              <w:bottom w:val="nil"/>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体</w:t>
            </w:r>
          </w:p>
        </w:tc>
        <w:tc>
          <w:tcPr>
            <w:tcW w:w="6480" w:type="dxa"/>
            <w:gridSpan w:val="6"/>
            <w:vMerge w:val="continue"/>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center"/>
              <w:rPr>
                <w:rFonts w:hint="eastAsia" w:ascii="仿宋_GB2312" w:hAnsi="宋体"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285" w:hRule="atLeast"/>
        </w:trPr>
        <w:tc>
          <w:tcPr>
            <w:tcW w:w="1080" w:type="dxa"/>
            <w:tcBorders>
              <w:top w:val="nil"/>
              <w:left w:val="single" w:color="000000" w:sz="8" w:space="0"/>
              <w:bottom w:val="nil"/>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目</w:t>
            </w:r>
          </w:p>
        </w:tc>
        <w:tc>
          <w:tcPr>
            <w:tcW w:w="6480" w:type="dxa"/>
            <w:gridSpan w:val="6"/>
            <w:vMerge w:val="continue"/>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center"/>
              <w:rPr>
                <w:rFonts w:hint="eastAsia" w:ascii="仿宋_GB2312" w:hAnsi="宋体"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780" w:hRule="atLeast"/>
        </w:trPr>
        <w:tc>
          <w:tcPr>
            <w:tcW w:w="1080" w:type="dxa"/>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标</w:t>
            </w:r>
          </w:p>
        </w:tc>
        <w:tc>
          <w:tcPr>
            <w:tcW w:w="6480" w:type="dxa"/>
            <w:gridSpan w:val="6"/>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乡镇通三级公路（霞若乡）7.664公里，按照C25水泥混凝土路面硬化标准投入建设，建设7.664公里通乡三级公路改造，待工程完工后，届时可解决霞若乡、拖顶乡9511人的出行安全问题。</w:t>
            </w:r>
          </w:p>
        </w:tc>
      </w:tr>
      <w:tr>
        <w:tblPrEx>
          <w:shd w:val="clear" w:color="auto" w:fill="auto"/>
          <w:tblCellMar>
            <w:top w:w="0" w:type="dxa"/>
            <w:left w:w="0" w:type="dxa"/>
            <w:bottom w:w="0" w:type="dxa"/>
            <w:right w:w="0" w:type="dxa"/>
          </w:tblCellMar>
        </w:tblPrEx>
        <w:trPr>
          <w:trHeight w:val="300" w:hRule="atLeast"/>
        </w:trPr>
        <w:tc>
          <w:tcPr>
            <w:tcW w:w="1080" w:type="dxa"/>
            <w:tcBorders>
              <w:top w:val="nil"/>
              <w:left w:val="single" w:color="000000" w:sz="8" w:space="0"/>
              <w:bottom w:val="nil"/>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绩</w:t>
            </w:r>
          </w:p>
        </w:tc>
        <w:tc>
          <w:tcPr>
            <w:tcW w:w="108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一级指标</w:t>
            </w:r>
          </w:p>
        </w:tc>
        <w:tc>
          <w:tcPr>
            <w:tcW w:w="1080" w:type="dxa"/>
            <w:tcBorders>
              <w:top w:val="single" w:color="000000" w:sz="8" w:space="0"/>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二级指标</w:t>
            </w:r>
          </w:p>
        </w:tc>
        <w:tc>
          <w:tcPr>
            <w:tcW w:w="3240" w:type="dxa"/>
            <w:gridSpan w:val="3"/>
            <w:tcBorders>
              <w:top w:val="single" w:color="000000" w:sz="8" w:space="0"/>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三级指标</w:t>
            </w:r>
          </w:p>
        </w:tc>
        <w:tc>
          <w:tcPr>
            <w:tcW w:w="1080" w:type="dxa"/>
            <w:tcBorders>
              <w:top w:val="single" w:color="000000" w:sz="8" w:space="0"/>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指标值</w:t>
            </w:r>
          </w:p>
        </w:tc>
      </w:tr>
      <w:tr>
        <w:tblPrEx>
          <w:shd w:val="clear" w:color="auto" w:fill="auto"/>
          <w:tblCellMar>
            <w:top w:w="0" w:type="dxa"/>
            <w:left w:w="0" w:type="dxa"/>
            <w:bottom w:w="0" w:type="dxa"/>
            <w:right w:w="0" w:type="dxa"/>
          </w:tblCellMar>
        </w:tblPrEx>
        <w:trPr>
          <w:trHeight w:val="540" w:hRule="atLeast"/>
        </w:trPr>
        <w:tc>
          <w:tcPr>
            <w:tcW w:w="1080" w:type="dxa"/>
            <w:tcBorders>
              <w:top w:val="nil"/>
              <w:left w:val="single" w:color="000000" w:sz="8" w:space="0"/>
              <w:bottom w:val="nil"/>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效</w:t>
            </w:r>
          </w:p>
        </w:tc>
        <w:tc>
          <w:tcPr>
            <w:tcW w:w="1080" w:type="dxa"/>
            <w:vMerge w:val="restart"/>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产出指标</w:t>
            </w:r>
          </w:p>
        </w:tc>
        <w:tc>
          <w:tcPr>
            <w:tcW w:w="108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数量指标</w:t>
            </w:r>
          </w:p>
        </w:tc>
        <w:tc>
          <w:tcPr>
            <w:tcW w:w="3240" w:type="dxa"/>
            <w:gridSpan w:val="3"/>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乡镇通三级公路（霞若乡）</w:t>
            </w:r>
          </w:p>
        </w:tc>
        <w:tc>
          <w:tcPr>
            <w:tcW w:w="108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7.664</w:t>
            </w:r>
            <w:r>
              <w:rPr>
                <w:rFonts w:hint="eastAsia" w:ascii="宋体" w:hAnsi="宋体" w:eastAsia="宋体" w:cs="宋体"/>
                <w:i w:val="0"/>
                <w:color w:val="000000"/>
                <w:kern w:val="0"/>
                <w:sz w:val="21"/>
                <w:szCs w:val="21"/>
                <w:u w:val="none"/>
                <w:lang w:val="en-US" w:eastAsia="zh-CN" w:bidi="ar"/>
              </w:rPr>
              <w:t>公里</w:t>
            </w:r>
          </w:p>
        </w:tc>
      </w:tr>
      <w:tr>
        <w:tblPrEx>
          <w:shd w:val="clear" w:color="auto" w:fill="auto"/>
          <w:tblCellMar>
            <w:top w:w="0" w:type="dxa"/>
            <w:left w:w="0" w:type="dxa"/>
            <w:bottom w:w="0" w:type="dxa"/>
            <w:right w:w="0" w:type="dxa"/>
          </w:tblCellMar>
        </w:tblPrEx>
        <w:trPr>
          <w:trHeight w:val="525" w:hRule="atLeast"/>
        </w:trPr>
        <w:tc>
          <w:tcPr>
            <w:tcW w:w="1080" w:type="dxa"/>
            <w:tcBorders>
              <w:top w:val="nil"/>
              <w:left w:val="single" w:color="000000" w:sz="8" w:space="0"/>
              <w:bottom w:val="nil"/>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指</w:t>
            </w:r>
          </w:p>
        </w:tc>
        <w:tc>
          <w:tcPr>
            <w:tcW w:w="1080" w:type="dxa"/>
            <w:vMerge w:val="continue"/>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center"/>
              <w:rPr>
                <w:rFonts w:hint="eastAsia" w:ascii="仿宋_GB2312" w:hAnsi="宋体" w:eastAsia="仿宋_GB2312" w:cs="仿宋_GB2312"/>
                <w:i w:val="0"/>
                <w:color w:val="000000"/>
                <w:sz w:val="21"/>
                <w:szCs w:val="21"/>
                <w:u w:val="none"/>
              </w:rPr>
            </w:pPr>
          </w:p>
        </w:tc>
        <w:tc>
          <w:tcPr>
            <w:tcW w:w="108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质量指标</w:t>
            </w:r>
          </w:p>
        </w:tc>
        <w:tc>
          <w:tcPr>
            <w:tcW w:w="3240" w:type="dxa"/>
            <w:gridSpan w:val="3"/>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乡镇通三级公路（霞若乡）验收合格率</w:t>
            </w:r>
          </w:p>
        </w:tc>
        <w:tc>
          <w:tcPr>
            <w:tcW w:w="108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85%</w:t>
            </w:r>
          </w:p>
        </w:tc>
      </w:tr>
      <w:tr>
        <w:tblPrEx>
          <w:shd w:val="clear" w:color="auto" w:fill="auto"/>
          <w:tblCellMar>
            <w:top w:w="0" w:type="dxa"/>
            <w:left w:w="0" w:type="dxa"/>
            <w:bottom w:w="0" w:type="dxa"/>
            <w:right w:w="0" w:type="dxa"/>
          </w:tblCellMar>
        </w:tblPrEx>
        <w:trPr>
          <w:trHeight w:val="525" w:hRule="atLeast"/>
        </w:trPr>
        <w:tc>
          <w:tcPr>
            <w:tcW w:w="1080" w:type="dxa"/>
            <w:tcBorders>
              <w:top w:val="nil"/>
              <w:left w:val="single" w:color="000000" w:sz="8" w:space="0"/>
              <w:bottom w:val="nil"/>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标</w:t>
            </w:r>
          </w:p>
        </w:tc>
        <w:tc>
          <w:tcPr>
            <w:tcW w:w="1080" w:type="dxa"/>
            <w:vMerge w:val="continue"/>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center"/>
              <w:rPr>
                <w:rFonts w:hint="eastAsia" w:ascii="仿宋_GB2312" w:hAnsi="宋体" w:eastAsia="仿宋_GB2312" w:cs="仿宋_GB2312"/>
                <w:i w:val="0"/>
                <w:color w:val="000000"/>
                <w:sz w:val="21"/>
                <w:szCs w:val="21"/>
                <w:u w:val="none"/>
              </w:rPr>
            </w:pPr>
          </w:p>
        </w:tc>
        <w:tc>
          <w:tcPr>
            <w:tcW w:w="108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时效指标</w:t>
            </w:r>
          </w:p>
        </w:tc>
        <w:tc>
          <w:tcPr>
            <w:tcW w:w="3240" w:type="dxa"/>
            <w:gridSpan w:val="3"/>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乡镇通三级公路（霞若乡）工作完成及时性</w:t>
            </w:r>
          </w:p>
        </w:tc>
        <w:tc>
          <w:tcPr>
            <w:tcW w:w="108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及时</w:t>
            </w:r>
          </w:p>
        </w:tc>
      </w:tr>
      <w:tr>
        <w:tblPrEx>
          <w:tblCellMar>
            <w:top w:w="0" w:type="dxa"/>
            <w:left w:w="0" w:type="dxa"/>
            <w:bottom w:w="0" w:type="dxa"/>
            <w:right w:w="0" w:type="dxa"/>
          </w:tblCellMar>
        </w:tblPrEx>
        <w:trPr>
          <w:trHeight w:val="525" w:hRule="atLeast"/>
        </w:trPr>
        <w:tc>
          <w:tcPr>
            <w:tcW w:w="0" w:type="auto"/>
            <w:tcBorders>
              <w:top w:val="nil"/>
              <w:left w:val="single" w:color="000000" w:sz="8" w:space="0"/>
              <w:bottom w:val="nil"/>
              <w:right w:val="single" w:color="000000" w:sz="8"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80" w:type="dxa"/>
            <w:vMerge w:val="continue"/>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center"/>
              <w:rPr>
                <w:rFonts w:hint="eastAsia" w:ascii="仿宋_GB2312" w:hAnsi="宋体" w:eastAsia="仿宋_GB2312" w:cs="仿宋_GB2312"/>
                <w:i w:val="0"/>
                <w:color w:val="000000"/>
                <w:sz w:val="21"/>
                <w:szCs w:val="21"/>
                <w:u w:val="none"/>
              </w:rPr>
            </w:pPr>
          </w:p>
        </w:tc>
        <w:tc>
          <w:tcPr>
            <w:tcW w:w="108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成本指标</w:t>
            </w:r>
          </w:p>
        </w:tc>
        <w:tc>
          <w:tcPr>
            <w:tcW w:w="3240" w:type="dxa"/>
            <w:gridSpan w:val="3"/>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德钦县霞若通乡三级公路改造建设项目</w:t>
            </w:r>
          </w:p>
        </w:tc>
        <w:tc>
          <w:tcPr>
            <w:tcW w:w="108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3000万元</w:t>
            </w:r>
          </w:p>
        </w:tc>
      </w:tr>
      <w:tr>
        <w:tblPrEx>
          <w:tblCellMar>
            <w:top w:w="0" w:type="dxa"/>
            <w:left w:w="0" w:type="dxa"/>
            <w:bottom w:w="0" w:type="dxa"/>
            <w:right w:w="0" w:type="dxa"/>
          </w:tblCellMar>
        </w:tblPrEx>
        <w:trPr>
          <w:trHeight w:val="300" w:hRule="atLeast"/>
        </w:trPr>
        <w:tc>
          <w:tcPr>
            <w:tcW w:w="0" w:type="auto"/>
            <w:tcBorders>
              <w:top w:val="nil"/>
              <w:left w:val="single" w:color="000000" w:sz="8" w:space="0"/>
              <w:bottom w:val="nil"/>
              <w:right w:val="single" w:color="000000" w:sz="8"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80" w:type="dxa"/>
            <w:vMerge w:val="restart"/>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center"/>
              <w:rPr>
                <w:rFonts w:hint="eastAsia" w:ascii="仿宋_GB2312" w:hAnsi="宋体" w:eastAsia="仿宋_GB2312" w:cs="仿宋_GB2312"/>
                <w:i w:val="0"/>
                <w:color w:val="000000"/>
                <w:sz w:val="21"/>
                <w:szCs w:val="21"/>
                <w:u w:val="none"/>
              </w:rPr>
            </w:pPr>
          </w:p>
        </w:tc>
        <w:tc>
          <w:tcPr>
            <w:tcW w:w="108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社会效益</w:t>
            </w:r>
          </w:p>
        </w:tc>
        <w:tc>
          <w:tcPr>
            <w:tcW w:w="3240" w:type="dxa"/>
            <w:gridSpan w:val="3"/>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left"/>
              <w:rPr>
                <w:rFonts w:hint="eastAsia" w:ascii="仿宋_GB2312" w:hAnsi="宋体" w:eastAsia="仿宋_GB2312" w:cs="仿宋_GB2312"/>
                <w:i w:val="0"/>
                <w:color w:val="000000"/>
                <w:sz w:val="21"/>
                <w:szCs w:val="21"/>
                <w:u w:val="none"/>
              </w:rPr>
            </w:pPr>
          </w:p>
        </w:tc>
        <w:tc>
          <w:tcPr>
            <w:tcW w:w="108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both"/>
              <w:rPr>
                <w:rFonts w:hint="eastAsia" w:ascii="仿宋_GB2312" w:hAnsi="宋体" w:eastAsia="仿宋_GB2312" w:cs="仿宋_GB2312"/>
                <w:i w:val="0"/>
                <w:color w:val="000000"/>
                <w:sz w:val="21"/>
                <w:szCs w:val="21"/>
                <w:u w:val="none"/>
              </w:rPr>
            </w:pPr>
          </w:p>
        </w:tc>
      </w:tr>
      <w:tr>
        <w:tblPrEx>
          <w:tblCellMar>
            <w:top w:w="0" w:type="dxa"/>
            <w:left w:w="0" w:type="dxa"/>
            <w:bottom w:w="0" w:type="dxa"/>
            <w:right w:w="0" w:type="dxa"/>
          </w:tblCellMar>
        </w:tblPrEx>
        <w:trPr>
          <w:trHeight w:val="315" w:hRule="atLeast"/>
        </w:trPr>
        <w:tc>
          <w:tcPr>
            <w:tcW w:w="0" w:type="auto"/>
            <w:tcBorders>
              <w:top w:val="nil"/>
              <w:left w:val="single" w:color="000000" w:sz="8" w:space="0"/>
              <w:bottom w:val="nil"/>
              <w:right w:val="single" w:color="000000" w:sz="8"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80" w:type="dxa"/>
            <w:vMerge w:val="continue"/>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center"/>
              <w:rPr>
                <w:rFonts w:hint="eastAsia" w:ascii="仿宋_GB2312" w:hAnsi="宋体" w:eastAsia="仿宋_GB2312" w:cs="仿宋_GB2312"/>
                <w:i w:val="0"/>
                <w:color w:val="000000"/>
                <w:sz w:val="21"/>
                <w:szCs w:val="21"/>
                <w:u w:val="none"/>
              </w:rPr>
            </w:pPr>
          </w:p>
        </w:tc>
        <w:tc>
          <w:tcPr>
            <w:tcW w:w="108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指标</w:t>
            </w:r>
          </w:p>
        </w:tc>
        <w:tc>
          <w:tcPr>
            <w:tcW w:w="3240" w:type="dxa"/>
            <w:gridSpan w:val="3"/>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保障农村公路安全畅通</w:t>
            </w:r>
          </w:p>
        </w:tc>
        <w:tc>
          <w:tcPr>
            <w:tcW w:w="108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保障畅通</w:t>
            </w:r>
          </w:p>
        </w:tc>
      </w:tr>
      <w:tr>
        <w:tblPrEx>
          <w:tblCellMar>
            <w:top w:w="0" w:type="dxa"/>
            <w:left w:w="0" w:type="dxa"/>
            <w:bottom w:w="0" w:type="dxa"/>
            <w:right w:w="0" w:type="dxa"/>
          </w:tblCellMar>
        </w:tblPrEx>
        <w:trPr>
          <w:trHeight w:val="540" w:hRule="atLeast"/>
        </w:trPr>
        <w:tc>
          <w:tcPr>
            <w:tcW w:w="0" w:type="auto"/>
            <w:tcBorders>
              <w:top w:val="nil"/>
              <w:left w:val="single" w:color="000000" w:sz="8" w:space="0"/>
              <w:bottom w:val="nil"/>
              <w:right w:val="single" w:color="000000" w:sz="8"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80" w:type="dxa"/>
            <w:vMerge w:val="continue"/>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center"/>
              <w:rPr>
                <w:rFonts w:hint="eastAsia" w:ascii="仿宋_GB2312" w:hAnsi="宋体" w:eastAsia="仿宋_GB2312" w:cs="仿宋_GB2312"/>
                <w:i w:val="0"/>
                <w:color w:val="000000"/>
                <w:sz w:val="21"/>
                <w:szCs w:val="21"/>
                <w:u w:val="none"/>
              </w:rPr>
            </w:pPr>
          </w:p>
        </w:tc>
        <w:tc>
          <w:tcPr>
            <w:tcW w:w="108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可持续影响</w:t>
            </w:r>
          </w:p>
        </w:tc>
        <w:tc>
          <w:tcPr>
            <w:tcW w:w="3240" w:type="dxa"/>
            <w:gridSpan w:val="3"/>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left"/>
              <w:rPr>
                <w:rFonts w:hint="eastAsia" w:ascii="仿宋_GB2312" w:hAnsi="宋体" w:eastAsia="仿宋_GB2312" w:cs="仿宋_GB2312"/>
                <w:i w:val="0"/>
                <w:color w:val="000000"/>
                <w:sz w:val="21"/>
                <w:szCs w:val="21"/>
                <w:u w:val="none"/>
              </w:rPr>
            </w:pPr>
          </w:p>
        </w:tc>
        <w:tc>
          <w:tcPr>
            <w:tcW w:w="108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left"/>
              <w:rPr>
                <w:rFonts w:hint="eastAsia" w:ascii="宋体" w:hAnsi="宋体" w:eastAsia="宋体" w:cs="宋体"/>
                <w:i w:val="0"/>
                <w:color w:val="000000"/>
                <w:sz w:val="21"/>
                <w:szCs w:val="21"/>
                <w:u w:val="none"/>
              </w:rPr>
            </w:pPr>
          </w:p>
        </w:tc>
      </w:tr>
      <w:tr>
        <w:tblPrEx>
          <w:tblCellMar>
            <w:top w:w="0" w:type="dxa"/>
            <w:left w:w="0" w:type="dxa"/>
            <w:bottom w:w="0" w:type="dxa"/>
            <w:right w:w="0" w:type="dxa"/>
          </w:tblCellMar>
        </w:tblPrEx>
        <w:trPr>
          <w:trHeight w:val="525" w:hRule="atLeast"/>
        </w:trPr>
        <w:tc>
          <w:tcPr>
            <w:tcW w:w="0" w:type="auto"/>
            <w:tcBorders>
              <w:top w:val="nil"/>
              <w:left w:val="single" w:color="000000" w:sz="8" w:space="0"/>
              <w:bottom w:val="nil"/>
              <w:right w:val="single" w:color="000000" w:sz="8"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80" w:type="dxa"/>
            <w:vMerge w:val="continue"/>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center"/>
              <w:rPr>
                <w:rFonts w:hint="eastAsia" w:ascii="仿宋_GB2312" w:hAnsi="宋体" w:eastAsia="仿宋_GB2312" w:cs="仿宋_GB2312"/>
                <w:i w:val="0"/>
                <w:color w:val="000000"/>
                <w:sz w:val="21"/>
                <w:szCs w:val="21"/>
                <w:u w:val="none"/>
              </w:rPr>
            </w:pPr>
          </w:p>
        </w:tc>
        <w:tc>
          <w:tcPr>
            <w:tcW w:w="108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指标</w:t>
            </w:r>
          </w:p>
        </w:tc>
        <w:tc>
          <w:tcPr>
            <w:tcW w:w="3240" w:type="dxa"/>
            <w:gridSpan w:val="3"/>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在未来一段时间内保障霞若通乡三级公路改造安全畅通</w:t>
            </w:r>
          </w:p>
        </w:tc>
        <w:tc>
          <w:tcPr>
            <w:tcW w:w="108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可持续</w:t>
            </w:r>
          </w:p>
        </w:tc>
      </w:tr>
      <w:tr>
        <w:tblPrEx>
          <w:tblCellMar>
            <w:top w:w="0" w:type="dxa"/>
            <w:left w:w="0" w:type="dxa"/>
            <w:bottom w:w="0" w:type="dxa"/>
            <w:right w:w="0" w:type="dxa"/>
          </w:tblCellMar>
        </w:tblPrEx>
        <w:trPr>
          <w:trHeight w:val="300" w:hRule="atLeast"/>
        </w:trPr>
        <w:tc>
          <w:tcPr>
            <w:tcW w:w="0" w:type="auto"/>
            <w:tcBorders>
              <w:top w:val="nil"/>
              <w:left w:val="single" w:color="000000" w:sz="8" w:space="0"/>
              <w:bottom w:val="nil"/>
              <w:right w:val="single" w:color="000000" w:sz="8"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80" w:type="dxa"/>
            <w:vMerge w:val="restart"/>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满意度指标</w:t>
            </w:r>
          </w:p>
        </w:tc>
        <w:tc>
          <w:tcPr>
            <w:tcW w:w="108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服务对象</w:t>
            </w:r>
          </w:p>
        </w:tc>
        <w:tc>
          <w:tcPr>
            <w:tcW w:w="3240" w:type="dxa"/>
            <w:gridSpan w:val="3"/>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left"/>
              <w:rPr>
                <w:rFonts w:hint="eastAsia" w:ascii="仿宋_GB2312" w:hAnsi="宋体" w:eastAsia="仿宋_GB2312" w:cs="仿宋_GB2312"/>
                <w:i w:val="0"/>
                <w:color w:val="000000"/>
                <w:sz w:val="21"/>
                <w:szCs w:val="21"/>
                <w:u w:val="none"/>
              </w:rPr>
            </w:pPr>
          </w:p>
        </w:tc>
        <w:tc>
          <w:tcPr>
            <w:tcW w:w="108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left"/>
              <w:rPr>
                <w:rFonts w:hint="eastAsia" w:ascii="宋体" w:hAnsi="宋体" w:eastAsia="宋体" w:cs="宋体"/>
                <w:i w:val="0"/>
                <w:color w:val="000000"/>
                <w:sz w:val="21"/>
                <w:szCs w:val="21"/>
                <w:u w:val="none"/>
              </w:rPr>
            </w:pPr>
          </w:p>
        </w:tc>
      </w:tr>
      <w:tr>
        <w:tblPrEx>
          <w:tblCellMar>
            <w:top w:w="0" w:type="dxa"/>
            <w:left w:w="0" w:type="dxa"/>
            <w:bottom w:w="0" w:type="dxa"/>
            <w:right w:w="0" w:type="dxa"/>
          </w:tblCellMar>
        </w:tblPrEx>
        <w:trPr>
          <w:trHeight w:val="540" w:hRule="atLeast"/>
        </w:trPr>
        <w:tc>
          <w:tcPr>
            <w:tcW w:w="0" w:type="auto"/>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80" w:type="dxa"/>
            <w:vMerge w:val="continue"/>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center"/>
              <w:rPr>
                <w:rFonts w:hint="eastAsia" w:ascii="仿宋_GB2312" w:hAnsi="宋体" w:eastAsia="仿宋_GB2312" w:cs="仿宋_GB2312"/>
                <w:i w:val="0"/>
                <w:color w:val="000000"/>
                <w:sz w:val="21"/>
                <w:szCs w:val="21"/>
                <w:u w:val="none"/>
              </w:rPr>
            </w:pPr>
          </w:p>
        </w:tc>
        <w:tc>
          <w:tcPr>
            <w:tcW w:w="108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满意度指标</w:t>
            </w:r>
          </w:p>
        </w:tc>
        <w:tc>
          <w:tcPr>
            <w:tcW w:w="3240" w:type="dxa"/>
            <w:gridSpan w:val="3"/>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公里周边群众满意度</w:t>
            </w:r>
          </w:p>
        </w:tc>
        <w:tc>
          <w:tcPr>
            <w:tcW w:w="108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88%</w:t>
            </w:r>
          </w:p>
        </w:tc>
      </w:tr>
      <w:tr>
        <w:tblPrEx>
          <w:tblCellMar>
            <w:top w:w="0" w:type="dxa"/>
            <w:left w:w="0" w:type="dxa"/>
            <w:bottom w:w="0" w:type="dxa"/>
            <w:right w:w="0" w:type="dxa"/>
          </w:tblCellMar>
        </w:tblPrEx>
        <w:trPr>
          <w:trHeight w:val="300" w:hRule="atLeast"/>
        </w:trPr>
        <w:tc>
          <w:tcPr>
            <w:tcW w:w="7560" w:type="dxa"/>
            <w:gridSpan w:val="7"/>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经办人（电话）：      单位负责人：           上报日期：</w:t>
            </w:r>
          </w:p>
        </w:tc>
      </w:tr>
    </w:tbl>
    <w:p>
      <w:pPr>
        <w:bidi w:val="0"/>
        <w:jc w:val="left"/>
        <w:rPr>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embedRegular r:id="rId1" w:fontKey="{D11064A2-FA11-4C73-898F-AA7A628E8F6F}"/>
  </w:font>
  <w:font w:name="华文中宋">
    <w:altName w:val="宋体"/>
    <w:panose1 w:val="02010600040101010101"/>
    <w:charset w:val="86"/>
    <w:family w:val="auto"/>
    <w:pitch w:val="default"/>
    <w:sig w:usb0="00000000" w:usb1="00000000" w:usb2="00000000" w:usb3="00000000" w:csb0="0004009F" w:csb1="DFD70000"/>
  </w:font>
  <w:font w:name="方正小标宋简体">
    <w:panose1 w:val="02000000000000000000"/>
    <w:charset w:val="86"/>
    <w:family w:val="auto"/>
    <w:pitch w:val="default"/>
    <w:sig w:usb0="00000001" w:usb1="08000000" w:usb2="00000000" w:usb3="00000000" w:csb0="00040000" w:csb1="00000000"/>
    <w:embedRegular r:id="rId2" w:fontKey="{10F60B74-6E30-4143-90D1-B3BCB4F97CA6}"/>
  </w:font>
  <w:font w:name="方正仿宋简体">
    <w:altName w:val="微软雅黑"/>
    <w:panose1 w:val="02000000000000000000"/>
    <w:charset w:val="86"/>
    <w:family w:val="script"/>
    <w:pitch w:val="default"/>
    <w:sig w:usb0="00000000" w:usb1="00000000" w:usb2="00000012" w:usb3="00000000" w:csb0="00040001" w:csb1="00000000"/>
    <w:embedRegular r:id="rId3" w:fontKey="{D4CF2D65-B94D-4ED6-8880-8B786C302D75}"/>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rPr>
                              <w:rStyle w:val="6"/>
                              <w:rFonts w:hint="eastAsia" w:ascii="仿宋_GB2312" w:hAnsi="仿宋_GB2312" w:eastAsia="仿宋_GB2312" w:cs="仿宋_GB2312"/>
                              <w:sz w:val="28"/>
                              <w:szCs w:val="28"/>
                              <w:lang w:eastAsia="zh-CN"/>
                            </w:rPr>
                          </w:pPr>
                          <w:r>
                            <w:rPr>
                              <w:rStyle w:val="6"/>
                              <w:rFonts w:hint="eastAsia" w:ascii="仿宋_GB2312" w:hAnsi="仿宋_GB2312" w:eastAsia="仿宋_GB2312" w:cs="仿宋_GB2312"/>
                              <w:sz w:val="28"/>
                              <w:szCs w:val="28"/>
                              <w:lang w:eastAsia="zh-CN"/>
                            </w:rPr>
                            <w:t xml:space="preserve">— </w:t>
                          </w:r>
                          <w:r>
                            <w:rPr>
                              <w:rFonts w:hint="eastAsia" w:ascii="仿宋_GB2312" w:hAnsi="仿宋_GB2312" w:eastAsia="仿宋_GB2312" w:cs="仿宋_GB2312"/>
                              <w:sz w:val="28"/>
                              <w:szCs w:val="28"/>
                              <w:lang w:eastAsia="zh-CN"/>
                            </w:rPr>
                            <w:fldChar w:fldCharType="begin"/>
                          </w:r>
                          <w:r>
                            <w:rPr>
                              <w:rStyle w:val="6"/>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Style w:val="6"/>
                              <w:rFonts w:hint="eastAsia" w:ascii="仿宋_GB2312" w:hAnsi="仿宋_GB2312" w:eastAsia="仿宋_GB2312" w:cs="仿宋_GB2312"/>
                              <w:sz w:val="28"/>
                              <w:szCs w:val="28"/>
                              <w:lang w:eastAsia="zh-CN"/>
                            </w:rPr>
                            <w:t>- 1 -</w:t>
                          </w:r>
                          <w:r>
                            <w:rPr>
                              <w:rFonts w:hint="eastAsia" w:ascii="仿宋_GB2312" w:hAnsi="仿宋_GB2312" w:eastAsia="仿宋_GB2312" w:cs="仿宋_GB2312"/>
                              <w:sz w:val="28"/>
                              <w:szCs w:val="28"/>
                              <w:lang w:eastAsia="zh-CN"/>
                            </w:rPr>
                            <w:fldChar w:fldCharType="end"/>
                          </w:r>
                          <w:r>
                            <w:rPr>
                              <w:rStyle w:val="6"/>
                              <w:rFonts w:hint="eastAsia" w:ascii="仿宋_GB2312" w:hAnsi="仿宋_GB2312" w:eastAsia="仿宋_GB2312" w:cs="仿宋_GB2312"/>
                              <w:sz w:val="28"/>
                              <w:szCs w:val="28"/>
                              <w:lang w:eastAsia="zh-CN"/>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DkjEckBAACZ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OSMRyQEAAJkDAAAOAAAAAAAAAAEAIAAAAB4BAABkcnMvZTJvRG9j&#10;LnhtbFBLBQYAAAAABgAGAFkBAABZBQAAAAA=&#10;">
              <v:fill on="f" focussize="0,0"/>
              <v:stroke on="f"/>
              <v:imagedata o:title=""/>
              <o:lock v:ext="edit" aspectratio="f"/>
              <v:textbox inset="0mm,0mm,0mm,0mm" style="mso-fit-shape-to-text:t;">
                <w:txbxContent>
                  <w:p>
                    <w:pPr>
                      <w:pStyle w:val="2"/>
                      <w:rPr>
                        <w:rStyle w:val="6"/>
                        <w:rFonts w:hint="eastAsia" w:ascii="仿宋_GB2312" w:hAnsi="仿宋_GB2312" w:eastAsia="仿宋_GB2312" w:cs="仿宋_GB2312"/>
                        <w:sz w:val="28"/>
                        <w:szCs w:val="28"/>
                        <w:lang w:eastAsia="zh-CN"/>
                      </w:rPr>
                    </w:pPr>
                    <w:r>
                      <w:rPr>
                        <w:rStyle w:val="6"/>
                        <w:rFonts w:hint="eastAsia" w:ascii="仿宋_GB2312" w:hAnsi="仿宋_GB2312" w:eastAsia="仿宋_GB2312" w:cs="仿宋_GB2312"/>
                        <w:sz w:val="28"/>
                        <w:szCs w:val="28"/>
                        <w:lang w:eastAsia="zh-CN"/>
                      </w:rPr>
                      <w:t xml:space="preserve">— </w:t>
                    </w:r>
                    <w:r>
                      <w:rPr>
                        <w:rFonts w:hint="eastAsia" w:ascii="仿宋_GB2312" w:hAnsi="仿宋_GB2312" w:eastAsia="仿宋_GB2312" w:cs="仿宋_GB2312"/>
                        <w:sz w:val="28"/>
                        <w:szCs w:val="28"/>
                        <w:lang w:eastAsia="zh-CN"/>
                      </w:rPr>
                      <w:fldChar w:fldCharType="begin"/>
                    </w:r>
                    <w:r>
                      <w:rPr>
                        <w:rStyle w:val="6"/>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Style w:val="6"/>
                        <w:rFonts w:hint="eastAsia" w:ascii="仿宋_GB2312" w:hAnsi="仿宋_GB2312" w:eastAsia="仿宋_GB2312" w:cs="仿宋_GB2312"/>
                        <w:sz w:val="28"/>
                        <w:szCs w:val="28"/>
                        <w:lang w:eastAsia="zh-CN"/>
                      </w:rPr>
                      <w:t>- 1 -</w:t>
                    </w:r>
                    <w:r>
                      <w:rPr>
                        <w:rFonts w:hint="eastAsia" w:ascii="仿宋_GB2312" w:hAnsi="仿宋_GB2312" w:eastAsia="仿宋_GB2312" w:cs="仿宋_GB2312"/>
                        <w:sz w:val="28"/>
                        <w:szCs w:val="28"/>
                        <w:lang w:eastAsia="zh-CN"/>
                      </w:rPr>
                      <w:fldChar w:fldCharType="end"/>
                    </w:r>
                    <w:r>
                      <w:rPr>
                        <w:rStyle w:val="6"/>
                        <w:rFonts w:hint="eastAsia" w:ascii="仿宋_GB2312" w:hAnsi="仿宋_GB2312" w:eastAsia="仿宋_GB2312" w:cs="仿宋_GB2312"/>
                        <w:sz w:val="28"/>
                        <w:szCs w:val="28"/>
                        <w:lang w:eastAsia="zh-CN"/>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6"/>
      </w:rPr>
    </w:pPr>
    <w:r>
      <w:fldChar w:fldCharType="begin"/>
    </w:r>
    <w:r>
      <w:rPr>
        <w:rStyle w:val="6"/>
      </w:rPr>
      <w:instrText xml:space="preserve">PAGE  </w:instrText>
    </w:r>
    <w:r>
      <w:fldChar w:fldCharType="end"/>
    </w:r>
  </w:p>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rPr>
                              <w:rStyle w:val="6"/>
                              <w:rFonts w:hint="eastAsia" w:ascii="仿宋_GB2312" w:hAnsi="仿宋_GB2312" w:eastAsia="仿宋_GB2312" w:cs="仿宋_GB2312"/>
                              <w:sz w:val="28"/>
                              <w:szCs w:val="28"/>
                              <w:lang w:eastAsia="zh-CN"/>
                            </w:rPr>
                          </w:pPr>
                          <w:r>
                            <w:rPr>
                              <w:rStyle w:val="6"/>
                              <w:rFonts w:hint="eastAsia" w:ascii="仿宋_GB2312" w:hAnsi="仿宋_GB2312" w:eastAsia="仿宋_GB2312" w:cs="仿宋_GB2312"/>
                              <w:sz w:val="28"/>
                              <w:szCs w:val="28"/>
                              <w:lang w:eastAsia="zh-CN"/>
                            </w:rPr>
                            <w:t xml:space="preserve">— </w:t>
                          </w:r>
                          <w:r>
                            <w:rPr>
                              <w:rFonts w:hint="eastAsia" w:ascii="仿宋_GB2312" w:hAnsi="仿宋_GB2312" w:eastAsia="仿宋_GB2312" w:cs="仿宋_GB2312"/>
                              <w:sz w:val="28"/>
                              <w:szCs w:val="28"/>
                              <w:lang w:eastAsia="zh-CN"/>
                            </w:rPr>
                            <w:fldChar w:fldCharType="begin"/>
                          </w:r>
                          <w:r>
                            <w:rPr>
                              <w:rStyle w:val="6"/>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Style w:val="6"/>
                              <w:rFonts w:hint="eastAsia" w:ascii="仿宋_GB2312" w:hAnsi="仿宋_GB2312" w:eastAsia="仿宋_GB2312" w:cs="仿宋_GB2312"/>
                              <w:sz w:val="28"/>
                              <w:szCs w:val="28"/>
                              <w:lang w:eastAsia="zh-CN"/>
                            </w:rPr>
                            <w:t>3</w:t>
                          </w:r>
                          <w:r>
                            <w:rPr>
                              <w:rFonts w:hint="eastAsia" w:ascii="仿宋_GB2312" w:hAnsi="仿宋_GB2312" w:eastAsia="仿宋_GB2312" w:cs="仿宋_GB2312"/>
                              <w:sz w:val="28"/>
                              <w:szCs w:val="28"/>
                              <w:lang w:eastAsia="zh-CN"/>
                            </w:rPr>
                            <w:fldChar w:fldCharType="end"/>
                          </w:r>
                          <w:r>
                            <w:rPr>
                              <w:rStyle w:val="6"/>
                              <w:rFonts w:hint="eastAsia" w:ascii="仿宋_GB2312" w:hAnsi="仿宋_GB2312" w:eastAsia="仿宋_GB2312" w:cs="仿宋_GB2312"/>
                              <w:sz w:val="28"/>
                              <w:szCs w:val="28"/>
                              <w:lang w:eastAsia="zh-CN"/>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JL6ScgBAACZ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8cQ9aErS5TrQbg7Jmyi9JYrjLBTYZxYYTdtV16JP+8l6+mP2v4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DSS+knIAQAAmQMAAA4AAAAAAAAAAQAgAAAAHgEAAGRycy9lMm9Eb2Mu&#10;eG1sUEsFBgAAAAAGAAYAWQEAAFgFAAAAAA==&#10;">
              <v:fill on="f" focussize="0,0"/>
              <v:stroke on="f"/>
              <v:imagedata o:title=""/>
              <o:lock v:ext="edit" aspectratio="f"/>
              <v:textbox inset="0mm,0mm,0mm,0mm" style="mso-fit-shape-to-text:t;">
                <w:txbxContent>
                  <w:p>
                    <w:pPr>
                      <w:pStyle w:val="2"/>
                      <w:rPr>
                        <w:rStyle w:val="6"/>
                        <w:rFonts w:hint="eastAsia" w:ascii="仿宋_GB2312" w:hAnsi="仿宋_GB2312" w:eastAsia="仿宋_GB2312" w:cs="仿宋_GB2312"/>
                        <w:sz w:val="28"/>
                        <w:szCs w:val="28"/>
                        <w:lang w:eastAsia="zh-CN"/>
                      </w:rPr>
                    </w:pPr>
                    <w:r>
                      <w:rPr>
                        <w:rStyle w:val="6"/>
                        <w:rFonts w:hint="eastAsia" w:ascii="仿宋_GB2312" w:hAnsi="仿宋_GB2312" w:eastAsia="仿宋_GB2312" w:cs="仿宋_GB2312"/>
                        <w:sz w:val="28"/>
                        <w:szCs w:val="28"/>
                        <w:lang w:eastAsia="zh-CN"/>
                      </w:rPr>
                      <w:t xml:space="preserve">— </w:t>
                    </w:r>
                    <w:r>
                      <w:rPr>
                        <w:rFonts w:hint="eastAsia" w:ascii="仿宋_GB2312" w:hAnsi="仿宋_GB2312" w:eastAsia="仿宋_GB2312" w:cs="仿宋_GB2312"/>
                        <w:sz w:val="28"/>
                        <w:szCs w:val="28"/>
                        <w:lang w:eastAsia="zh-CN"/>
                      </w:rPr>
                      <w:fldChar w:fldCharType="begin"/>
                    </w:r>
                    <w:r>
                      <w:rPr>
                        <w:rStyle w:val="6"/>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Style w:val="6"/>
                        <w:rFonts w:hint="eastAsia" w:ascii="仿宋_GB2312" w:hAnsi="仿宋_GB2312" w:eastAsia="仿宋_GB2312" w:cs="仿宋_GB2312"/>
                        <w:sz w:val="28"/>
                        <w:szCs w:val="28"/>
                        <w:lang w:eastAsia="zh-CN"/>
                      </w:rPr>
                      <w:t>3</w:t>
                    </w:r>
                    <w:r>
                      <w:rPr>
                        <w:rFonts w:hint="eastAsia" w:ascii="仿宋_GB2312" w:hAnsi="仿宋_GB2312" w:eastAsia="仿宋_GB2312" w:cs="仿宋_GB2312"/>
                        <w:sz w:val="28"/>
                        <w:szCs w:val="28"/>
                        <w:lang w:eastAsia="zh-CN"/>
                      </w:rPr>
                      <w:fldChar w:fldCharType="end"/>
                    </w:r>
                    <w:r>
                      <w:rPr>
                        <w:rStyle w:val="6"/>
                        <w:rFonts w:hint="eastAsia" w:ascii="仿宋_GB2312" w:hAnsi="仿宋_GB2312" w:eastAsia="仿宋_GB2312" w:cs="仿宋_GB2312"/>
                        <w:sz w:val="28"/>
                        <w:szCs w:val="28"/>
                        <w:lang w:eastAsia="zh-CN"/>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p>
    <w:pPr>
      <w:pStyle w:val="3"/>
      <w:pBdr>
        <w:bottom w:val="none" w:color="auto" w:sz="0" w:space="0"/>
      </w:pBdr>
      <w:jc w:val="both"/>
      <w:rPr>
        <w:rFonts w:hint="eastAsia" w:eastAsia="宋体"/>
        <w:lang w:eastAsia="zh-CN"/>
      </w:rPr>
    </w:pPr>
  </w:p>
  <w:p>
    <w:pPr>
      <w:pStyle w:val="3"/>
      <w:pBdr>
        <w:bottom w:val="none" w:color="auto" w:sz="0" w:space="0"/>
      </w:pBdr>
      <w:jc w:val="both"/>
      <w:rPr>
        <w:rFonts w:hint="eastAsia" w:eastAsia="宋体"/>
        <w:lang w:eastAsia="zh-C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JmNTVkYTZhNjA3ZmVjOTkzNjhmMzBiMjY0M2I5ZDMifQ=="/>
    <w:docVar w:name="KSO_WPS_MARK_KEY" w:val="bb4380d1-a635-41e0-9493-fd46ecdd553a"/>
  </w:docVars>
  <w:rsids>
    <w:rsidRoot w:val="5C9C377B"/>
    <w:rsid w:val="1B27602D"/>
    <w:rsid w:val="1F890A3D"/>
    <w:rsid w:val="25014082"/>
    <w:rsid w:val="2CE853E7"/>
    <w:rsid w:val="33E83B62"/>
    <w:rsid w:val="34654227"/>
    <w:rsid w:val="36CF0481"/>
    <w:rsid w:val="36DE4D5E"/>
    <w:rsid w:val="38817680"/>
    <w:rsid w:val="3B5B4E9F"/>
    <w:rsid w:val="3C581B36"/>
    <w:rsid w:val="3F42294B"/>
    <w:rsid w:val="469265E3"/>
    <w:rsid w:val="54916C16"/>
    <w:rsid w:val="587460B2"/>
    <w:rsid w:val="5C9C377B"/>
    <w:rsid w:val="70977EAE"/>
    <w:rsid w:val="776B151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7"/>
    <w:qFormat/>
    <w:uiPriority w:val="0"/>
    <w:pPr>
      <w:widowControl w:val="0"/>
      <w:jc w:val="both"/>
    </w:pPr>
    <w:rPr>
      <w:rFonts w:ascii="Times New Roman" w:hAnsi="Times New Roman" w:eastAsia="宋体" w:cs="Times New Roman"/>
      <w:kern w:val="2"/>
      <w:sz w:val="21"/>
      <w:lang w:val="en-US" w:eastAsia="zh-CN"/>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6">
    <w:name w:val="page number"/>
    <w:basedOn w:val="5"/>
    <w:qFormat/>
    <w:uiPriority w:val="0"/>
  </w:style>
  <w:style w:type="character" w:customStyle="1" w:styleId="7">
    <w:name w:val="NormalCharacter"/>
    <w:link w:val="1"/>
    <w:semiHidden/>
    <w:qFormat/>
    <w:uiPriority w:val="0"/>
    <w:rPr>
      <w:rFonts w:ascii="Times New Roman" w:hAnsi="Times New Roman" w:eastAsia="宋体" w:cs="Times New Roman"/>
      <w:kern w:val="2"/>
      <w:sz w:val="21"/>
      <w:lang w:val="en-US" w:eastAsia="zh-CN"/>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迪庆州德钦县党政机关单位</Company>
  <Pages>5</Pages>
  <Words>1433</Words>
  <Characters>1549</Characters>
  <Lines>0</Lines>
  <Paragraphs>0</Paragraphs>
  <TotalTime>0</TotalTime>
  <ScaleCrop>false</ScaleCrop>
  <LinksUpToDate>false</LinksUpToDate>
  <CharactersWithSpaces>1625</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2022-03-23T07:49:00Z</dcterms:created>
  <dc:creator>雾里看花</dc:creator>
  <cp:lastModifiedBy>扶桑</cp:lastModifiedBy>
  <cp:lastPrinted>2022-12-15T08:08:00Z</cp:lastPrinted>
  <dcterms:modified xsi:type="dcterms:W3CDTF">2024-07-18T06:37:06Z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F443D92A8C88421CAD1F85FC53AE3C42</vt:lpwstr>
  </property>
</Properties>
</file>