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w:t>
      </w:r>
      <w:r>
        <w:rPr>
          <w:rFonts w:hint="eastAsia" w:ascii="方正小标宋简体" w:hAnsi="方正小标宋简体" w:eastAsia="方正小标宋简体" w:cs="方正小标宋简体"/>
          <w:b w:val="0"/>
          <w:bCs/>
          <w:sz w:val="44"/>
          <w:szCs w:val="22"/>
          <w:lang w:val="en-US" w:eastAsia="zh-CN"/>
        </w:rPr>
        <w:t>2022年乡村振兴“百千万”示范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lang w:val="en-US" w:eastAsia="zh-CN"/>
        </w:rPr>
        <w:t>工程</w:t>
      </w:r>
      <w:r>
        <w:rPr>
          <w:rFonts w:hint="eastAsia" w:ascii="方正小标宋简体" w:hAnsi="方正小标宋简体" w:eastAsia="方正小标宋简体" w:cs="方正小标宋简体"/>
          <w:b w:val="0"/>
          <w:bCs/>
          <w:sz w:val="44"/>
          <w:szCs w:val="22"/>
          <w:lang w:eastAsia="zh-CN"/>
        </w:rPr>
        <w:t>建设项目资金</w:t>
      </w:r>
      <w:r>
        <w:rPr>
          <w:rFonts w:hint="eastAsia" w:ascii="方正小标宋简体" w:hAnsi="方正小标宋简体" w:eastAsia="方正小标宋简体" w:cs="方正小标宋简体"/>
          <w:b w:val="0"/>
          <w:bCs/>
          <w:sz w:val="44"/>
          <w:szCs w:val="22"/>
          <w:lang w:val="en-US" w:eastAsia="zh-CN"/>
        </w:rPr>
        <w:t>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德财农〔2022〕63号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羊拉乡人民政府</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Style w:val="7"/>
          <w:rFonts w:hint="eastAsia" w:ascii="Times New Roman" w:hAnsi="Times New Roman" w:eastAsia="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sz w:val="32"/>
          <w:lang w:eastAsia="zh-CN"/>
        </w:rPr>
        <w:t>德钦县</w:t>
      </w:r>
      <w:r>
        <w:rPr>
          <w:rStyle w:val="7"/>
          <w:rFonts w:hint="eastAsia" w:ascii="Times New Roman" w:hAnsi="Times New Roman" w:eastAsia="仿宋_GB2312"/>
          <w:b w:val="0"/>
          <w:i w:val="0"/>
          <w:caps w:val="0"/>
          <w:color w:val="auto"/>
          <w:spacing w:val="0"/>
          <w:w w:val="100"/>
          <w:kern w:val="2"/>
          <w:sz w:val="32"/>
          <w:szCs w:val="32"/>
          <w:lang w:val="en-US" w:eastAsia="zh-CN" w:bidi="ar-SA"/>
        </w:rPr>
        <w:t>巩固脱贫攻坚推进乡村振兴领导小组关于印发</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&lt;德钦县2022年度统筹整合使用财政涉农资金实施放方案&gt;的通知</w:t>
      </w:r>
      <w:r>
        <w:rPr>
          <w:rStyle w:val="7"/>
          <w:rFonts w:hint="eastAsia" w:ascii="Times New Roman" w:hAnsi="Times New Roman" w:eastAsia="仿宋_GB2312"/>
          <w:b w:val="0"/>
          <w:i w:val="0"/>
          <w:caps w:val="0"/>
          <w:color w:val="auto"/>
          <w:spacing w:val="0"/>
          <w:w w:val="100"/>
          <w:kern w:val="2"/>
          <w:sz w:val="32"/>
          <w:szCs w:val="32"/>
          <w:lang w:val="en-US" w:eastAsia="zh-CN" w:bidi="ar-SA"/>
        </w:rPr>
        <w:t>》（德巩</w:t>
      </w:r>
      <w:r>
        <w:rPr>
          <w:rFonts w:hint="eastAsia" w:ascii="仿宋_GB2312" w:hAnsi="仿宋_GB2312" w:eastAsia="仿宋_GB2312" w:cs="仿宋_GB2312"/>
          <w:sz w:val="32"/>
          <w:szCs w:val="32"/>
          <w:lang w:val="en-US" w:eastAsia="zh-CN"/>
        </w:rPr>
        <w:t>固振兴组〔2022〕2号）文件，经县十五届人民政府第2次常务会议研究同意，现将我县2022年涉农整合资金850.57万元下达给你单位，专项用于羊拉乡羊拉村南埂小组、西下中小组2022年乡村振兴“百千万”示范工程优质青稞产业精品示范村暨云南省民族团结进步示范村建设项目（详见附件）。此款</w:t>
      </w:r>
      <w:r>
        <w:rPr>
          <w:rFonts w:hint="eastAsia" w:ascii="仿宋_GB2312" w:hAnsi="仿宋_GB2312" w:eastAsia="仿宋_GB2312" w:cs="仿宋_GB2312"/>
          <w:sz w:val="32"/>
          <w:szCs w:val="32"/>
        </w:rPr>
        <w:t>请列入</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2130505—生产发展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严格按照财农〔2021〕22号、云财农〔2021〕153号《关于继续支持脱贫县统筹整合使用财政涉农资金工作的通知》，将整合资金专项用于与巩固拓展脱贫攻坚推进乡村振兴相关的农业产业或农村基础设施项目，</w:t>
      </w:r>
      <w:r>
        <w:rPr>
          <w:rFonts w:hint="eastAsia" w:ascii="仿宋_GB2312" w:hAnsi="仿宋_GB2312" w:eastAsia="仿宋_GB2312" w:cs="仿宋_GB2312"/>
          <w:b w:val="0"/>
          <w:i w:val="0"/>
          <w:caps w:val="0"/>
          <w:color w:val="333333"/>
          <w:spacing w:val="0"/>
          <w:sz w:val="32"/>
          <w:szCs w:val="32"/>
          <w:shd w:val="clear" w:fill="FFFFFF"/>
        </w:rPr>
        <w:t>严肃财经纪律，</w:t>
      </w:r>
      <w:r>
        <w:rPr>
          <w:rFonts w:hint="eastAsia" w:ascii="仿宋_GB2312" w:hAnsi="仿宋_GB2312" w:eastAsia="仿宋_GB2312" w:cs="仿宋_GB2312"/>
          <w:sz w:val="32"/>
          <w:szCs w:val="32"/>
          <w:lang w:val="en-US" w:eastAsia="zh-CN"/>
        </w:rPr>
        <w:t>严禁擅自扩大资金使用范围，严禁将资金投向整合资金负面清单项目。</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二、</w:t>
      </w:r>
      <w:r>
        <w:rPr>
          <w:rFonts w:hint="eastAsia" w:ascii="仿宋_GB2312" w:hAnsi="仿宋_GB2312" w:eastAsia="仿宋_GB2312" w:cs="仿宋_GB2312"/>
          <w:b w:val="0"/>
          <w:i w:val="0"/>
          <w:caps w:val="0"/>
          <w:color w:val="333333"/>
          <w:spacing w:val="0"/>
          <w:sz w:val="32"/>
          <w:szCs w:val="32"/>
          <w:shd w:val="clear" w:fill="FFFFFF"/>
          <w:lang w:eastAsia="zh-CN"/>
        </w:rPr>
        <w:t>严格按涉农资金</w:t>
      </w:r>
      <w:r>
        <w:rPr>
          <w:rFonts w:hint="eastAsia" w:ascii="仿宋_GB2312" w:hAnsi="仿宋_GB2312" w:eastAsia="仿宋_GB2312" w:cs="仿宋_GB2312"/>
          <w:sz w:val="32"/>
          <w:szCs w:val="32"/>
          <w:lang w:val="en-US" w:eastAsia="zh-CN"/>
        </w:rPr>
        <w:t>支出进度要求管理使用资金，切实加快预算执行进度，并加强资金监管，不得挤占、截留或挪用资金，确保财政涉农整合资金安全高效运行。</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3月21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四、</w:t>
      </w:r>
      <w:r>
        <w:rPr>
          <w:rFonts w:hint="eastAsia" w:ascii="仿宋_GB2312" w:hAnsi="仿宋_GB2312" w:eastAsia="仿宋_GB2312" w:cs="仿宋_GB2312"/>
          <w:b w:val="0"/>
          <w:i w:val="0"/>
          <w:caps w:val="0"/>
          <w:color w:val="333333"/>
          <w:spacing w:val="0"/>
          <w:sz w:val="32"/>
          <w:szCs w:val="32"/>
          <w:shd w:val="clear" w:fill="FFFFFF"/>
          <w:lang w:eastAsia="zh-CN"/>
        </w:rPr>
        <w:t>严格落实项目资金公开公示、绩效管理、项目验收、后续资产移交管理等相关要求，主动接受各方监督，切实防范和化解风险隐患。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附件：1.德钦县2022年第一批统筹整合财政涉农资金项目建设规划表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2.德钦县2022年第一批统筹整合财政涉农资金项目绩效目标申报表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4"/>
        <w:tblW w:w="13916" w:type="dxa"/>
        <w:tblInd w:w="-96" w:type="dxa"/>
        <w:tblLayout w:type="fixed"/>
        <w:tblCellMar>
          <w:top w:w="0" w:type="dxa"/>
          <w:left w:w="0" w:type="dxa"/>
          <w:bottom w:w="0" w:type="dxa"/>
          <w:right w:w="0" w:type="dxa"/>
        </w:tblCellMar>
      </w:tblPr>
      <w:tblGrid>
        <w:gridCol w:w="300"/>
        <w:gridCol w:w="600"/>
        <w:gridCol w:w="675"/>
        <w:gridCol w:w="638"/>
        <w:gridCol w:w="1012"/>
        <w:gridCol w:w="7225"/>
        <w:gridCol w:w="700"/>
        <w:gridCol w:w="1275"/>
        <w:gridCol w:w="1063"/>
        <w:gridCol w:w="428"/>
      </w:tblGrid>
      <w:tr>
        <w:tblPrEx>
          <w:tblCellMar>
            <w:top w:w="0" w:type="dxa"/>
            <w:left w:w="0" w:type="dxa"/>
            <w:bottom w:w="0" w:type="dxa"/>
            <w:right w:w="0" w:type="dxa"/>
          </w:tblCellMar>
        </w:tblPrEx>
        <w:trPr>
          <w:trHeight w:val="835" w:hRule="atLeast"/>
        </w:trPr>
        <w:tc>
          <w:tcPr>
            <w:tcW w:w="13916"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bCs w:val="0"/>
                <w:i w:val="0"/>
                <w:color w:val="000000"/>
                <w:kern w:val="0"/>
                <w:sz w:val="44"/>
                <w:szCs w:val="44"/>
                <w:u w:val="none"/>
                <w:lang w:val="en-US" w:eastAsia="zh-CN" w:bidi="ar"/>
              </w:rPr>
              <w:t>德钦县2022年第一批统筹整合财政涉农资金项目规划表</w:t>
            </w:r>
          </w:p>
        </w:tc>
      </w:tr>
      <w:tr>
        <w:tblPrEx>
          <w:tblCellMar>
            <w:top w:w="0" w:type="dxa"/>
            <w:left w:w="0" w:type="dxa"/>
            <w:bottom w:w="0" w:type="dxa"/>
            <w:right w:w="0" w:type="dxa"/>
          </w:tblCellMar>
        </w:tblPrEx>
        <w:trPr>
          <w:trHeight w:val="897" w:hRule="atLeast"/>
        </w:trPr>
        <w:tc>
          <w:tcPr>
            <w:tcW w:w="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序号</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项目主管单位</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项目实施单位</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资金下拨单位</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项目名称</w:t>
            </w:r>
          </w:p>
        </w:tc>
        <w:tc>
          <w:tcPr>
            <w:tcW w:w="7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建设内容及规模</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总投入资金（万元）</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本次投入资金</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（万元）</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绩效目标</w:t>
            </w:r>
          </w:p>
        </w:tc>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3642" w:hRule="atLeast"/>
        </w:trPr>
        <w:tc>
          <w:tcPr>
            <w:tcW w:w="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德钦县农业农村局</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羊拉乡人民政府</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羊拉乡人民政府</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b w:val="0"/>
                <w:bCs/>
                <w:i w:val="0"/>
                <w:color w:val="000000"/>
                <w:kern w:val="0"/>
                <w:sz w:val="21"/>
                <w:szCs w:val="21"/>
                <w:u w:val="none"/>
                <w:lang w:val="en-US" w:eastAsia="zh-CN" w:bidi="ar"/>
              </w:rPr>
              <w:t>羊拉乡羊拉村南埂小组、西下中小组2022年乡村振兴“百千万”示范工程优质青稞产业精品示范村暨云南省民族团结进步示范村建设项目</w:t>
            </w:r>
          </w:p>
        </w:tc>
        <w:tc>
          <w:tcPr>
            <w:tcW w:w="7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320" w:firstLineChars="200"/>
              <w:jc w:val="left"/>
              <w:textAlignment w:val="center"/>
              <w:rPr>
                <w:rFonts w:hint="eastAsia" w:ascii="仿宋_GB2312" w:hAnsi="仿宋_GB2312" w:eastAsia="仿宋_GB2312" w:cs="仿宋_GB2312"/>
                <w:b w:val="0"/>
                <w:bCs/>
                <w:i w:val="0"/>
                <w:color w:val="000000"/>
                <w:kern w:val="0"/>
                <w:sz w:val="16"/>
                <w:szCs w:val="16"/>
                <w:u w:val="none"/>
                <w:lang w:val="en-US" w:eastAsia="zh-CN" w:bidi="ar"/>
              </w:rPr>
            </w:pPr>
            <w:r>
              <w:rPr>
                <w:rFonts w:hint="eastAsia" w:ascii="仿宋_GB2312" w:hAnsi="仿宋_GB2312" w:eastAsia="仿宋_GB2312" w:cs="仿宋_GB2312"/>
                <w:b w:val="0"/>
                <w:bCs/>
                <w:i w:val="0"/>
                <w:color w:val="000000"/>
                <w:kern w:val="0"/>
                <w:sz w:val="16"/>
                <w:szCs w:val="16"/>
                <w:u w:val="none"/>
                <w:lang w:val="en-US" w:eastAsia="zh-CN" w:bidi="ar"/>
              </w:rPr>
              <w:t>一是羊拉乡羊拉村南埂小组</w:t>
            </w:r>
          </w:p>
          <w:p>
            <w:pPr>
              <w:keepNext w:val="0"/>
              <w:keepLines w:val="0"/>
              <w:widowControl/>
              <w:suppressLineNumbers w:val="0"/>
              <w:jc w:val="left"/>
              <w:textAlignment w:val="center"/>
              <w:rPr>
                <w:rFonts w:hint="eastAsia" w:ascii="仿宋_GB2312" w:hAnsi="仿宋_GB2312" w:eastAsia="仿宋_GB2312" w:cs="仿宋_GB2312"/>
                <w:b w:val="0"/>
                <w:bCs/>
                <w:i w:val="0"/>
                <w:color w:val="000000"/>
                <w:kern w:val="0"/>
                <w:sz w:val="16"/>
                <w:szCs w:val="16"/>
                <w:u w:val="none"/>
                <w:lang w:val="en-US" w:eastAsia="zh-CN" w:bidi="ar"/>
              </w:rPr>
            </w:pPr>
            <w:r>
              <w:rPr>
                <w:rFonts w:hint="eastAsia" w:ascii="仿宋_GB2312" w:hAnsi="仿宋_GB2312" w:eastAsia="仿宋_GB2312" w:cs="仿宋_GB2312"/>
                <w:b w:val="0"/>
                <w:bCs/>
                <w:i w:val="0"/>
                <w:color w:val="000000"/>
                <w:kern w:val="0"/>
                <w:sz w:val="16"/>
                <w:szCs w:val="16"/>
                <w:u w:val="none"/>
                <w:lang w:val="en-US" w:eastAsia="zh-CN" w:bidi="ar"/>
              </w:rPr>
              <w:t>（1）优质青稞基地围栏6428m;（2）美丽村庄村容村貌提升建设：建筑外立面提升改造（主房屋顶新增坡屋顶，颜色统一；墙体统一粉刷白色）12076㎡；沿路面院墙提升改造长587米高1.8米，540㎡；农房铁皮瓦改造2户；精品村庄环境提升改造，道路两边、闲置土地种植灌木；村内栏杆建设，680米，每米300元；道路硬化及挡墙建设；新建入户道路及盖板修补;（4）新建垃圾焚烧池3座，每座20㎡</w:t>
            </w:r>
          </w:p>
          <w:p>
            <w:pPr>
              <w:keepNext w:val="0"/>
              <w:keepLines w:val="0"/>
              <w:widowControl/>
              <w:suppressLineNumbers w:val="0"/>
              <w:jc w:val="left"/>
              <w:textAlignment w:val="center"/>
              <w:rPr>
                <w:rFonts w:hint="eastAsia" w:ascii="仿宋_GB2312" w:hAnsi="仿宋_GB2312" w:eastAsia="仿宋_GB2312" w:cs="仿宋_GB2312"/>
                <w:b w:val="0"/>
                <w:bCs/>
                <w:i w:val="0"/>
                <w:color w:val="000000"/>
                <w:kern w:val="0"/>
                <w:sz w:val="16"/>
                <w:szCs w:val="16"/>
                <w:u w:val="none"/>
                <w:lang w:val="en-US" w:eastAsia="zh-CN" w:bidi="ar"/>
              </w:rPr>
            </w:pPr>
            <w:r>
              <w:rPr>
                <w:rFonts w:hint="eastAsia" w:ascii="仿宋_GB2312" w:hAnsi="仿宋_GB2312" w:eastAsia="仿宋_GB2312" w:cs="仿宋_GB2312"/>
                <w:b w:val="0"/>
                <w:bCs/>
                <w:i w:val="0"/>
                <w:color w:val="000000"/>
                <w:kern w:val="0"/>
                <w:sz w:val="16"/>
                <w:szCs w:val="16"/>
                <w:u w:val="none"/>
                <w:lang w:val="en-US" w:eastAsia="zh-CN" w:bidi="ar"/>
              </w:rPr>
              <w:t>（5）美丽村庄停车场建设，2座;（6）公共厕所修缮（三净两无一明）;（7）太阳能路灯建设，70盏</w:t>
            </w:r>
          </w:p>
          <w:p>
            <w:pPr>
              <w:keepNext w:val="0"/>
              <w:keepLines w:val="0"/>
              <w:widowControl/>
              <w:suppressLineNumbers w:val="0"/>
              <w:ind w:firstLine="320" w:firstLineChars="200"/>
              <w:jc w:val="left"/>
              <w:textAlignment w:val="center"/>
              <w:rPr>
                <w:rFonts w:hint="eastAsia" w:ascii="仿宋_GB2312" w:hAnsi="仿宋_GB2312" w:eastAsia="仿宋_GB2312" w:cs="仿宋_GB2312"/>
                <w:b w:val="0"/>
                <w:bCs/>
                <w:i w:val="0"/>
                <w:color w:val="000000"/>
                <w:kern w:val="0"/>
                <w:sz w:val="16"/>
                <w:szCs w:val="16"/>
                <w:u w:val="none"/>
                <w:lang w:val="en-US" w:eastAsia="zh-CN" w:bidi="ar"/>
              </w:rPr>
            </w:pPr>
            <w:r>
              <w:rPr>
                <w:rFonts w:hint="eastAsia" w:ascii="仿宋_GB2312" w:hAnsi="仿宋_GB2312" w:eastAsia="仿宋_GB2312" w:cs="仿宋_GB2312"/>
                <w:b w:val="0"/>
                <w:bCs/>
                <w:i w:val="0"/>
                <w:color w:val="000000"/>
                <w:kern w:val="0"/>
                <w:sz w:val="16"/>
                <w:szCs w:val="16"/>
                <w:u w:val="none"/>
                <w:lang w:val="en-US" w:eastAsia="zh-CN" w:bidi="ar"/>
              </w:rPr>
              <w:t xml:space="preserve"> 二是羊拉乡羊拉村西下中小组</w:t>
            </w:r>
          </w:p>
          <w:p>
            <w:pPr>
              <w:keepNext w:val="0"/>
              <w:keepLines w:val="0"/>
              <w:widowControl/>
              <w:suppressLineNumbers w:val="0"/>
              <w:jc w:val="left"/>
              <w:textAlignment w:val="center"/>
              <w:rPr>
                <w:rFonts w:hint="eastAsia" w:ascii="仿宋_GB2312" w:hAnsi="仿宋_GB2312" w:eastAsia="仿宋_GB2312" w:cs="仿宋_GB2312"/>
                <w:b w:val="0"/>
                <w:bCs/>
                <w:i w:val="0"/>
                <w:color w:val="000000"/>
                <w:kern w:val="0"/>
                <w:sz w:val="16"/>
                <w:szCs w:val="16"/>
                <w:u w:val="none"/>
                <w:lang w:val="en-US" w:eastAsia="zh-CN" w:bidi="ar"/>
              </w:rPr>
            </w:pPr>
            <w:r>
              <w:rPr>
                <w:rFonts w:hint="eastAsia" w:ascii="仿宋_GB2312" w:hAnsi="仿宋_GB2312" w:eastAsia="仿宋_GB2312" w:cs="仿宋_GB2312"/>
                <w:b w:val="0"/>
                <w:bCs/>
                <w:i w:val="0"/>
                <w:color w:val="000000"/>
                <w:kern w:val="0"/>
                <w:sz w:val="16"/>
                <w:szCs w:val="16"/>
                <w:u w:val="none"/>
                <w:lang w:val="en-US" w:eastAsia="zh-CN" w:bidi="ar"/>
              </w:rPr>
              <w:t>（1）青稞基地基础设施建设：引水钢管长度1000m投资，30X30砼水沟长度1300m、农用便桥2座（15m※2m,8m※2m）、农田围栏2km;（2）优质青稞晾晒厂地建设60㎡;（3）美丽村庄村容村貌提升建设：建筑外立面提升改造（主房屋顶新增坡屋顶，颜色统一；墙体统一粉刷白色）4788㎡；农房铁皮瓦改造1户；道路两边、闲置土地种植灌木；新建污水管网，在村庄南侧新建污水处理池;（4）美丽村庄民族文化建设;（5）新建垃圾焚烧池1座;（6）回车厂提升改造;（7）公共厕所修缮（三净两无一明）</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850.57</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850.57</w:t>
            </w:r>
          </w:p>
        </w:tc>
        <w:tc>
          <w:tcPr>
            <w:tcW w:w="10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val="0"/>
                <w:bCs/>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rPr>
              <w:t>建设美丽乡村，提升生活水平，发展乡村特色产业，直接受益</w:t>
            </w:r>
            <w:r>
              <w:rPr>
                <w:rFonts w:hint="eastAsia" w:ascii="仿宋_GB2312" w:hAnsi="仿宋_GB2312" w:eastAsia="仿宋_GB2312" w:cs="仿宋_GB2312"/>
                <w:i w:val="0"/>
                <w:color w:val="000000"/>
                <w:sz w:val="21"/>
                <w:szCs w:val="21"/>
                <w:u w:val="none"/>
                <w:lang w:val="en-US" w:eastAsia="zh-CN"/>
              </w:rPr>
              <w:t>24</w:t>
            </w:r>
            <w:r>
              <w:rPr>
                <w:rFonts w:hint="eastAsia" w:ascii="仿宋_GB2312" w:hAnsi="仿宋_GB2312" w:eastAsia="仿宋_GB2312" w:cs="仿宋_GB2312"/>
                <w:i w:val="0"/>
                <w:color w:val="000000"/>
                <w:sz w:val="21"/>
                <w:szCs w:val="21"/>
                <w:u w:val="none"/>
              </w:rPr>
              <w:t>户，</w:t>
            </w:r>
            <w:r>
              <w:rPr>
                <w:rFonts w:hint="eastAsia" w:ascii="仿宋_GB2312" w:hAnsi="仿宋_GB2312" w:eastAsia="仿宋_GB2312" w:cs="仿宋_GB2312"/>
                <w:i w:val="0"/>
                <w:color w:val="000000"/>
                <w:sz w:val="21"/>
                <w:szCs w:val="21"/>
                <w:u w:val="none"/>
                <w:lang w:val="en-US" w:eastAsia="zh-CN"/>
              </w:rPr>
              <w:t>198</w:t>
            </w:r>
            <w:r>
              <w:rPr>
                <w:rFonts w:hint="eastAsia" w:ascii="仿宋_GB2312" w:hAnsi="仿宋_GB2312" w:eastAsia="仿宋_GB2312" w:cs="仿宋_GB2312"/>
                <w:i w:val="0"/>
                <w:color w:val="000000"/>
                <w:sz w:val="21"/>
                <w:szCs w:val="21"/>
                <w:u w:val="none"/>
              </w:rPr>
              <w:t>人。</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15"/>
                <w:szCs w:val="15"/>
                <w:u w:val="none"/>
                <w:lang w:val="en-US" w:eastAsia="zh-CN" w:bidi="ar"/>
              </w:rPr>
            </w:pPr>
          </w:p>
        </w:tc>
      </w:tr>
    </w:tbl>
    <w:p>
      <w:pPr>
        <w:jc w:val="both"/>
        <w:rPr>
          <w:rFonts w:hint="eastAsia" w:ascii="仿宋_GB2312" w:hAnsi="仿宋_GB2312" w:eastAsia="仿宋_GB2312" w:cs="仿宋_GB2312"/>
          <w:b/>
          <w:bCs/>
          <w:sz w:val="24"/>
          <w:szCs w:val="24"/>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tbl>
      <w:tblPr>
        <w:tblStyle w:val="4"/>
        <w:tblW w:w="8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5"/>
        <w:gridCol w:w="975"/>
        <w:gridCol w:w="1725"/>
        <w:gridCol w:w="1080"/>
        <w:gridCol w:w="1933"/>
        <w:gridCol w:w="57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2" w:hRule="atLeast"/>
        </w:trPr>
        <w:tc>
          <w:tcPr>
            <w:tcW w:w="8278"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1"/>
                <w:szCs w:val="21"/>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 w:hRule="atLeast"/>
        </w:trPr>
        <w:tc>
          <w:tcPr>
            <w:tcW w:w="8278"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28"/>
                <w:szCs w:val="28"/>
                <w:u w:val="none"/>
                <w:lang w:val="en-US" w:eastAsia="zh-CN" w:bidi="ar"/>
              </w:rPr>
              <w:t>德钦县2022年第一批统筹整合财政涉农资金项目绩效目标申报表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trPr>
        <w:tc>
          <w:tcPr>
            <w:tcW w:w="8278"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0"/>
                <w:szCs w:val="20"/>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4"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2"/>
                <w:szCs w:val="12"/>
                <w:u w:val="none"/>
              </w:rPr>
            </w:pPr>
            <w:r>
              <w:rPr>
                <w:rFonts w:hint="eastAsia" w:ascii="仿宋_GB2312" w:hAnsi="宋体" w:eastAsia="仿宋_GB2312" w:cs="仿宋_GB2312"/>
                <w:i w:val="0"/>
                <w:color w:val="000000"/>
                <w:kern w:val="0"/>
                <w:sz w:val="16"/>
                <w:szCs w:val="16"/>
                <w:u w:val="none"/>
                <w:lang w:val="en-US" w:eastAsia="zh-CN" w:bidi="ar"/>
              </w:rPr>
              <w:t>羊拉乡羊拉村南埂小组、西下中小组乡村振兴“百千万”示范建设项目</w:t>
            </w:r>
          </w:p>
        </w:tc>
        <w:tc>
          <w:tcPr>
            <w:tcW w:w="1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项目负责人及联系电话</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阿称  0887-8566100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主管部门</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德钦县农业农村局</w:t>
            </w:r>
          </w:p>
        </w:tc>
        <w:tc>
          <w:tcPr>
            <w:tcW w:w="1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实施单位</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羊拉乡人民政府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trPr>
        <w:tc>
          <w:tcPr>
            <w:tcW w:w="17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（万元）</w:t>
            </w: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年度资金总额：</w:t>
            </w:r>
          </w:p>
        </w:tc>
        <w:tc>
          <w:tcPr>
            <w:tcW w:w="37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850.57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17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其中：财政拨款</w:t>
            </w:r>
          </w:p>
        </w:tc>
        <w:tc>
          <w:tcPr>
            <w:tcW w:w="37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850.57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2" w:hRule="atLeast"/>
        </w:trPr>
        <w:tc>
          <w:tcPr>
            <w:tcW w:w="17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其他资金</w:t>
            </w:r>
          </w:p>
        </w:tc>
        <w:tc>
          <w:tcPr>
            <w:tcW w:w="37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2"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总体目标</w:t>
            </w:r>
          </w:p>
        </w:tc>
        <w:tc>
          <w:tcPr>
            <w:tcW w:w="751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7513"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建设美丽乡村，提升生活水平，发展乡村特色产业，直接受益33户，198人。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7513"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绩效指标</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二级指标</w:t>
            </w: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产出指标</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数量指标</w:t>
            </w: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南埂小组2022年乡村振兴“百千万”示范工程</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406.4万元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西下中小组2022年乡村振兴“百千万”示范工程</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366.85万元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★★★新建羊拉精神传习所</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★新建垃圾分类池</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★活动中心建设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w:t>
            </w: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★美丽村庄停车场建设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★公共厕所修缮（三净两无一明）</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★建筑外立面提升改造（加固漆2遍，面漆2遍）</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16864</w:t>
            </w: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★农房铁皮瓦改造</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★新建西下中农用便桥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路面院墙提升改造</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540</w:t>
            </w: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村内栏杆建设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680米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7"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引水钢管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建成后群众受益人数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项目建设带动群众就业</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 项目建成后受益户数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★★★优质青稞基地围栏</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8428m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7"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带动增加贫困人口收入（总收入）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社会效益指标</w:t>
            </w: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项目建成验收合格率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购置设备质量合格率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★★项目建成后投入使用率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项目建设完成时限</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9月底前完工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项目验收及时</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10月底前验收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项目建成后及时投入运营</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10月底前投入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建成后使用年限</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满意度指标</w:t>
            </w:r>
          </w:p>
        </w:tc>
        <w:tc>
          <w:tcPr>
            <w:tcW w:w="172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服务对象满意度指标</w:t>
            </w: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★★受益群众满意度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7" w:hRule="atLeast"/>
        </w:trPr>
        <w:tc>
          <w:tcPr>
            <w:tcW w:w="8278"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0"/>
                <w:szCs w:val="20"/>
                <w:u w:val="none"/>
                <w:lang w:val="en-US" w:eastAsia="zh-CN" w:bidi="ar"/>
              </w:rPr>
              <w:t>经</w:t>
            </w:r>
            <w:r>
              <w:rPr>
                <w:rFonts w:hint="eastAsia" w:ascii="仿宋_GB2312" w:hAnsi="宋体" w:eastAsia="仿宋_GB2312" w:cs="仿宋_GB2312"/>
                <w:i w:val="0"/>
                <w:color w:val="000000"/>
                <w:kern w:val="0"/>
                <w:sz w:val="18"/>
                <w:szCs w:val="18"/>
                <w:u w:val="none"/>
                <w:lang w:val="en-US" w:eastAsia="zh-CN" w:bidi="ar"/>
              </w:rPr>
              <w:t>办人（电话）：李强 13988773643      单位负责人：阿称            上报日期：2022.3.18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6E5A80DC-10FF-4B6B-949E-5C494D89AD34}"/>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4F3164F1-C58B-4B13-A0DD-C177B88E0641}"/>
  </w:font>
  <w:font w:name="方正仿宋简体">
    <w:altName w:val="微软雅黑"/>
    <w:panose1 w:val="02000000000000000000"/>
    <w:charset w:val="86"/>
    <w:family w:val="script"/>
    <w:pitch w:val="default"/>
    <w:sig w:usb0="00000000" w:usb1="00000000" w:usb2="00000012" w:usb3="00000000" w:csb0="00040001" w:csb1="00000000"/>
    <w:embedRegular r:id="rId3" w:fontKey="{D5134E27-CA09-4395-9079-29ABF1DCEAD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d8955410-3bbf-4359-98e5-719e78f42107"/>
  </w:docVars>
  <w:rsids>
    <w:rsidRoot w:val="26517121"/>
    <w:rsid w:val="066C07B7"/>
    <w:rsid w:val="11041C84"/>
    <w:rsid w:val="26517121"/>
    <w:rsid w:val="54265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6</Pages>
  <Words>2041</Words>
  <Characters>2264</Characters>
  <Lines>0</Lines>
  <Paragraphs>0</Paragraphs>
  <TotalTime>0</TotalTime>
  <ScaleCrop>false</ScaleCrop>
  <LinksUpToDate>false</LinksUpToDate>
  <CharactersWithSpaces>2324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2022-03-23T07:16:00Z</dcterms:created>
  <dc:creator>雾里看花</dc:creator>
  <cp:lastModifiedBy>扶桑</cp:lastModifiedBy>
  <dcterms:modified xsi:type="dcterms:W3CDTF">2024-07-18T03:13:30Z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AB8CFD3490A046D286769048AA2983A3</vt:lpwstr>
  </property>
</Properties>
</file>