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下达佛山乡生猪养殖场二期续建项目资金</w:t>
      </w:r>
      <w:r>
        <w:rPr>
          <w:rFonts w:hint="eastAsia" w:ascii="方正小标宋简体" w:hAnsi="方正小标宋简体" w:eastAsia="方正小标宋简体" w:cs="方正小标宋简体"/>
          <w:b w:val="0"/>
          <w:bCs/>
          <w:sz w:val="44"/>
          <w:szCs w:val="22"/>
          <w:lang w:val="en-US" w:eastAsia="zh-CN"/>
        </w:rPr>
        <w:t>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德财农〔2022〕26号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佛山乡人民政府</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Style w:val="7"/>
          <w:rFonts w:hint="eastAsia" w:ascii="Times New Roman" w:hAnsi="Times New Roman" w:eastAsia="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sz w:val="32"/>
          <w:lang w:eastAsia="zh-CN"/>
        </w:rPr>
        <w:t>德钦县</w:t>
      </w:r>
      <w:r>
        <w:rPr>
          <w:rStyle w:val="7"/>
          <w:rFonts w:hint="eastAsia" w:ascii="Times New Roman" w:hAnsi="Times New Roman" w:eastAsia="仿宋_GB2312"/>
          <w:b w:val="0"/>
          <w:i w:val="0"/>
          <w:caps w:val="0"/>
          <w:color w:val="auto"/>
          <w:spacing w:val="0"/>
          <w:w w:val="100"/>
          <w:kern w:val="2"/>
          <w:sz w:val="32"/>
          <w:szCs w:val="32"/>
          <w:lang w:val="en-US" w:eastAsia="zh-CN" w:bidi="ar-SA"/>
        </w:rPr>
        <w:t>巩固脱贫攻坚推进乡村振兴领导小组关于印发</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&lt;德钦县2022年度统筹整合使用财政涉农资金实施放方案&gt;的通知</w:t>
      </w:r>
      <w:r>
        <w:rPr>
          <w:rStyle w:val="7"/>
          <w:rFonts w:hint="eastAsia" w:ascii="Times New Roman" w:hAnsi="Times New Roman" w:eastAsia="仿宋_GB2312"/>
          <w:b w:val="0"/>
          <w:i w:val="0"/>
          <w:caps w:val="0"/>
          <w:color w:val="auto"/>
          <w:spacing w:val="0"/>
          <w:w w:val="100"/>
          <w:kern w:val="2"/>
          <w:sz w:val="32"/>
          <w:szCs w:val="32"/>
          <w:lang w:val="en-US" w:eastAsia="zh-CN" w:bidi="ar-SA"/>
        </w:rPr>
        <w:t>》（德巩固振兴组</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7"/>
          <w:rFonts w:hint="eastAsia" w:ascii="Times New Roman" w:hAnsi="Times New Roman" w:eastAsia="仿宋_GB2312"/>
          <w:b w:val="0"/>
          <w:i w:val="0"/>
          <w:caps w:val="0"/>
          <w:color w:val="auto"/>
          <w:spacing w:val="0"/>
          <w:w w:val="100"/>
          <w:kern w:val="2"/>
          <w:sz w:val="32"/>
          <w:szCs w:val="32"/>
          <w:lang w:val="en-US" w:eastAsia="zh-CN" w:bidi="ar-SA"/>
        </w:rPr>
        <w:t>2022</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7"/>
          <w:rFonts w:hint="eastAsia" w:ascii="Times New Roman" w:hAnsi="Times New Roman" w:eastAsia="仿宋_GB2312"/>
          <w:b w:val="0"/>
          <w:i w:val="0"/>
          <w:caps w:val="0"/>
          <w:color w:val="auto"/>
          <w:spacing w:val="0"/>
          <w:w w:val="100"/>
          <w:kern w:val="2"/>
          <w:sz w:val="32"/>
          <w:szCs w:val="32"/>
          <w:lang w:val="en-US" w:eastAsia="zh-CN" w:bidi="ar-SA"/>
        </w:rPr>
        <w:t>2号）文件，经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lang w:val="en-US" w:eastAsia="zh-CN"/>
        </w:rPr>
        <w:t>十五届人民政府第2次常务会议研究同意，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将我县</w:t>
      </w:r>
      <w:r>
        <w:rPr>
          <w:rFonts w:hint="eastAsia" w:ascii="仿宋_GB2312" w:hAnsi="仿宋_GB2312" w:eastAsia="仿宋_GB2312" w:cs="仿宋_GB2312"/>
          <w:sz w:val="32"/>
          <w:lang w:val="en-US" w:eastAsia="zh-CN"/>
        </w:rPr>
        <w:t>2022年涉农整合资金</w:t>
      </w:r>
      <w:r>
        <w:rPr>
          <w:rFonts w:hint="eastAsia" w:ascii="仿宋_GB2312" w:hAnsi="仿宋_GB2312" w:eastAsia="仿宋_GB2312" w:cs="仿宋_GB2312"/>
          <w:sz w:val="32"/>
          <w:szCs w:val="22"/>
          <w:lang w:val="en-US" w:eastAsia="zh-CN"/>
        </w:rPr>
        <w:t>400</w:t>
      </w:r>
      <w:r>
        <w:rPr>
          <w:rFonts w:hint="eastAsia" w:ascii="仿宋_GB2312" w:hAnsi="仿宋_GB2312" w:eastAsia="仿宋_GB2312" w:cs="仿宋_GB2312"/>
          <w:sz w:val="32"/>
          <w:szCs w:val="32"/>
          <w:lang w:val="en-US" w:eastAsia="zh-CN"/>
        </w:rPr>
        <w:t>万元下达给你乡，专项用于佛山乡纳古村生猪养殖场二期续建项目（详见附件）。此款请列入2022年“2130505—生产发展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严格按照财农〔2021〕22号、云财农〔2021〕153号《关于继续支持脱贫县统筹整合使用财政涉农资金工作的通知》，将整合资金专项用于与巩固拓展脱贫攻坚推进乡村振兴相关的农业产业或农村基础设施项目，</w:t>
      </w:r>
      <w:r>
        <w:rPr>
          <w:rFonts w:hint="eastAsia" w:ascii="仿宋_GB2312" w:hAnsi="仿宋_GB2312" w:eastAsia="仿宋_GB2312" w:cs="仿宋_GB2312"/>
          <w:b w:val="0"/>
          <w:i w:val="0"/>
          <w:caps w:val="0"/>
          <w:color w:val="333333"/>
          <w:spacing w:val="0"/>
          <w:sz w:val="32"/>
          <w:szCs w:val="32"/>
          <w:shd w:val="clear" w:fill="FFFFFF"/>
        </w:rPr>
        <w:t>严肃财经纪律，</w:t>
      </w:r>
      <w:r>
        <w:rPr>
          <w:rFonts w:hint="eastAsia" w:ascii="仿宋_GB2312" w:hAnsi="仿宋_GB2312" w:eastAsia="仿宋_GB2312" w:cs="仿宋_GB2312"/>
          <w:sz w:val="32"/>
          <w:szCs w:val="32"/>
          <w:lang w:val="en-US" w:eastAsia="zh-CN"/>
        </w:rPr>
        <w:t>严禁擅自扩大资金使用范围，严禁将资金投向整合资金负面清单项目。</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二、</w:t>
      </w:r>
      <w:r>
        <w:rPr>
          <w:rFonts w:hint="eastAsia" w:ascii="仿宋_GB2312" w:hAnsi="仿宋_GB2312" w:eastAsia="仿宋_GB2312" w:cs="仿宋_GB2312"/>
          <w:b w:val="0"/>
          <w:i w:val="0"/>
          <w:caps w:val="0"/>
          <w:color w:val="333333"/>
          <w:spacing w:val="0"/>
          <w:sz w:val="32"/>
          <w:szCs w:val="32"/>
          <w:shd w:val="clear" w:fill="FFFFFF"/>
          <w:lang w:eastAsia="zh-CN"/>
        </w:rPr>
        <w:t>严格按涉农资金</w:t>
      </w:r>
      <w:r>
        <w:rPr>
          <w:rFonts w:hint="eastAsia" w:ascii="仿宋_GB2312" w:hAnsi="仿宋_GB2312" w:eastAsia="仿宋_GB2312" w:cs="仿宋_GB2312"/>
          <w:sz w:val="32"/>
          <w:szCs w:val="32"/>
          <w:lang w:val="en-US" w:eastAsia="zh-CN"/>
        </w:rPr>
        <w:t>支出进度要求管理使用资金，切实加快预算执行进度，并加强资金监管，不得挤占、截留或挪用资金，确保财政涉农整合资金安全高效运行。</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3月21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四、</w:t>
      </w:r>
      <w:r>
        <w:rPr>
          <w:rFonts w:hint="eastAsia" w:ascii="仿宋_GB2312" w:hAnsi="仿宋_GB2312" w:eastAsia="仿宋_GB2312" w:cs="仿宋_GB2312"/>
          <w:b w:val="0"/>
          <w:i w:val="0"/>
          <w:caps w:val="0"/>
          <w:color w:val="333333"/>
          <w:spacing w:val="0"/>
          <w:sz w:val="32"/>
          <w:szCs w:val="32"/>
          <w:shd w:val="clear" w:fill="FFFFFF"/>
          <w:lang w:eastAsia="zh-CN"/>
        </w:rPr>
        <w:t>严格落实项目资金公开公示、绩效管理、项目验收、后续资产移交管理等相关要求，主动接受各方监督，切实防范和化解风险隐患。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附件：1.德钦县2022年第一批统筹整合财政涉农资金项目建设规划表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2.德钦县2022年第一批统筹整合财政涉农资金项目绩效目标申报表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w:t>
      </w:r>
      <w:bookmarkStart w:id="0" w:name="_GoBack"/>
      <w:bookmarkEnd w:id="0"/>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德钦县财政局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德钦县乡村振兴局</w:t>
      </w:r>
    </w:p>
    <w:p>
      <w:pPr>
        <w:keepNext w:val="0"/>
        <w:keepLines w:val="0"/>
        <w:pageBreakBefore w:val="0"/>
        <w:widowControl w:val="0"/>
        <w:tabs>
          <w:tab w:val="left" w:pos="238"/>
          <w:tab w:val="left" w:pos="720"/>
          <w:tab w:val="left" w:pos="5895"/>
          <w:tab w:val="right" w:pos="8426"/>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238"/>
          <w:tab w:val="left" w:pos="720"/>
          <w:tab w:val="left" w:pos="5895"/>
          <w:tab w:val="right" w:pos="8426"/>
        </w:tabs>
        <w:kinsoku/>
        <w:wordWrap/>
        <w:overflowPunct/>
        <w:topLinePunct w:val="0"/>
        <w:autoSpaceDE/>
        <w:autoSpaceDN/>
        <w:bidi w:val="0"/>
        <w:adjustRightInd/>
        <w:snapToGrid/>
        <w:spacing w:line="240" w:lineRule="auto"/>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394335</wp:posOffset>
                </wp:positionV>
                <wp:extent cx="52578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05pt;height:0.05pt;width:414pt;z-index:251660288;mso-width-relative:page;mso-height-relative:page;" filled="f" stroked="t" coordsize="21600,21600" o:gfxdata="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uDQdMAAAAGAQAADwAAAAAAAAABACAAAAAiAAAAZHJzL2Rvd25yZXYueG1sUEsBAhQAFAAA&#10;AAgAh07iQDEU09/0AQAA5gMAAA4AAAAAAAAAAQAgAAAAIgEAAGRycy9lMm9Eb2MueG1sUEsFBgAA&#10;AAAGAAYAWQEAAIg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u w:val="thick"/>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339090</wp:posOffset>
                </wp:positionV>
                <wp:extent cx="52578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7pt;height:0.05pt;width:414pt;z-index:251661312;mso-width-relative:page;mso-height-relative:page;" filled="f" stroked="t" coordsize="21600,21600" o:gfxdata="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7Qvx11AAAAAYBAAAPAAAAAAAAAAEAIAAAACIAAABkcnMvZG93bnJldi54bWxQSwECFAAU&#10;AAAACACHTuJAay+lXPUBAADmAwAADgAAAAAAAAABACAAAAAj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w:t>抄送：</w:t>
      </w:r>
      <w:r>
        <w:rPr>
          <w:rFonts w:hint="eastAsia" w:ascii="仿宋_GB2312" w:hAnsi="仿宋_GB2312" w:eastAsia="仿宋_GB2312" w:cs="仿宋_GB2312"/>
          <w:sz w:val="28"/>
          <w:szCs w:val="28"/>
          <w:lang w:bidi="ar-SA"/>
        </w:rPr>
        <w:t>本局预算股  国库股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357505</wp:posOffset>
                </wp:positionV>
                <wp:extent cx="5257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28.15pt;height:0.05pt;width:414pt;z-index:251659264;mso-width-relative:page;mso-height-relative:page;" filled="f" stroked="t" coordsize="21600,21600" o:gfxdata="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PIfGNQAAAAHAQAADwAAAAAAAAABACAAAAAiAAAAZHJzL2Rvd25yZXYueG1sUEsBAhQAFAAA&#10;AAgAh07iQJwJaJ7zAQAA5gMAAA4AAAAAAAAAAQAgAAAAIw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w:t>德钦县财政局农</w:t>
      </w:r>
      <w:r>
        <w:rPr>
          <w:rFonts w:hint="eastAsia" w:ascii="仿宋_GB2312" w:hAnsi="仿宋_GB2312" w:eastAsia="仿宋_GB2312" w:cs="仿宋_GB2312"/>
          <w:sz w:val="32"/>
          <w:szCs w:val="32"/>
          <w:lang w:eastAsia="zh-CN"/>
        </w:rPr>
        <w:t>资</w:t>
      </w:r>
      <w:r>
        <w:rPr>
          <w:rFonts w:hint="eastAsia" w:ascii="仿宋_GB2312" w:hAnsi="仿宋_GB2312" w:eastAsia="仿宋_GB2312" w:cs="仿宋_GB2312"/>
          <w:sz w:val="32"/>
          <w:szCs w:val="32"/>
        </w:rPr>
        <w:t xml:space="preserve">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印发</w:t>
      </w:r>
    </w:p>
    <w:p>
      <w:pPr>
        <w:keepNext w:val="0"/>
        <w:keepLines w:val="0"/>
        <w:pageBreakBefore w:val="0"/>
        <w:widowControl w:val="0"/>
        <w:kinsoku/>
        <w:wordWrap/>
        <w:overflowPunct/>
        <w:topLinePunct w:val="0"/>
        <w:autoSpaceDE/>
        <w:autoSpaceDN/>
        <w:bidi w:val="0"/>
        <w:adjustRightInd/>
        <w:snapToGrid/>
        <w:spacing w:line="240" w:lineRule="auto"/>
        <w:ind w:firstLine="140" w:firstLineChars="50"/>
        <w:textAlignment w:val="auto"/>
        <w:rPr>
          <w:rFonts w:hint="eastAsia" w:ascii="仿宋_GB2312" w:hAnsi="仿宋_GB2312" w:eastAsia="仿宋_GB2312" w:cs="仿宋_GB2312"/>
          <w:sz w:val="28"/>
          <w:szCs w:val="28"/>
          <w:lang w:val="en-US"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4"/>
        <w:tblW w:w="12590" w:type="dxa"/>
        <w:tblInd w:w="0" w:type="dxa"/>
        <w:tblLayout w:type="fixed"/>
        <w:tblCellMar>
          <w:top w:w="0" w:type="dxa"/>
          <w:left w:w="0" w:type="dxa"/>
          <w:bottom w:w="0" w:type="dxa"/>
          <w:right w:w="0" w:type="dxa"/>
        </w:tblCellMar>
      </w:tblPr>
      <w:tblGrid>
        <w:gridCol w:w="297"/>
        <w:gridCol w:w="818"/>
        <w:gridCol w:w="907"/>
        <w:gridCol w:w="840"/>
        <w:gridCol w:w="1110"/>
        <w:gridCol w:w="2550"/>
        <w:gridCol w:w="1365"/>
        <w:gridCol w:w="1245"/>
        <w:gridCol w:w="2700"/>
        <w:gridCol w:w="758"/>
      </w:tblGrid>
      <w:tr>
        <w:tblPrEx>
          <w:tblCellMar>
            <w:top w:w="0" w:type="dxa"/>
            <w:left w:w="0" w:type="dxa"/>
            <w:bottom w:w="0" w:type="dxa"/>
            <w:right w:w="0" w:type="dxa"/>
          </w:tblCellMar>
        </w:tblPrEx>
        <w:trPr>
          <w:trHeight w:val="640" w:hRule="atLeast"/>
        </w:trPr>
        <w:tc>
          <w:tcPr>
            <w:tcW w:w="12590"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bCs w:val="0"/>
                <w:i w:val="0"/>
                <w:color w:val="000000"/>
                <w:kern w:val="0"/>
                <w:sz w:val="44"/>
                <w:szCs w:val="44"/>
                <w:u w:val="none"/>
                <w:lang w:val="en-US" w:eastAsia="zh-CN" w:bidi="ar"/>
              </w:rPr>
              <w:t>德钦县2022年第一批统筹整合财政涉农资金项目规划表</w:t>
            </w:r>
          </w:p>
        </w:tc>
      </w:tr>
      <w:tr>
        <w:tblPrEx>
          <w:tblCellMar>
            <w:top w:w="0" w:type="dxa"/>
            <w:left w:w="0" w:type="dxa"/>
            <w:bottom w:w="0" w:type="dxa"/>
            <w:right w:w="0" w:type="dxa"/>
          </w:tblCellMar>
        </w:tblPrEx>
        <w:trPr>
          <w:trHeight w:val="90" w:hRule="atLeast"/>
        </w:trPr>
        <w:tc>
          <w:tcPr>
            <w:tcW w:w="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项目主管单位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项目实施单位</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资金下拨单位</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项目名称</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建设内容及规模</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总投入资金（万元）</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本次投入资金</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（万元）</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绩效目标</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备注</w:t>
            </w:r>
          </w:p>
        </w:tc>
      </w:tr>
      <w:tr>
        <w:tblPrEx>
          <w:tblCellMar>
            <w:top w:w="0" w:type="dxa"/>
            <w:left w:w="0" w:type="dxa"/>
            <w:bottom w:w="0" w:type="dxa"/>
            <w:right w:w="0" w:type="dxa"/>
          </w:tblCellMar>
        </w:tblPrEx>
        <w:trPr>
          <w:trHeight w:val="90" w:hRule="atLeast"/>
        </w:trPr>
        <w:tc>
          <w:tcPr>
            <w:tcW w:w="2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1</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县农业农村局局</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佛山乡人民政府</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佛山乡人民政府</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佛山乡纳古村生猪养殖场二期续建项目</w:t>
            </w:r>
          </w:p>
        </w:tc>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一是纳古村生猪养殖场二期建设项目育肥产房基础部分；二是纳古村生猪养殖场二期建设项目场地平整费用；三是完成挡土墙部分建设。</w:t>
            </w:r>
          </w:p>
        </w:tc>
        <w:tc>
          <w:tcPr>
            <w:tcW w:w="1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400</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400</w:t>
            </w:r>
          </w:p>
        </w:tc>
        <w:tc>
          <w:tcPr>
            <w:tcW w:w="2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是建成后将解就业岗位，提供就业岗位、增加务工收入。二是本项目打造佛山-德钦的“菜篮子工程”，提供提供平价猪肉，起到稳定肉价作用，又可以保障百姓正常生活；三是可以通过养殖优质种猪并乡乡域群众出售，用“以点带面”方式带动乡域生猪养殖户进行标准化品质化养殖，提高佛山乡生猪市场竞争力。四是可实现集体经济增收、壮大村集体经济，建成后直接带贫人数达140户664人。</w:t>
            </w:r>
          </w:p>
        </w:tc>
        <w:tc>
          <w:tcPr>
            <w:tcW w:w="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000000"/>
                <w:sz w:val="16"/>
                <w:szCs w:val="16"/>
                <w:u w:val="none"/>
              </w:rPr>
            </w:pPr>
          </w:p>
        </w:tc>
      </w:tr>
    </w:tbl>
    <w:p>
      <w:pPr>
        <w:jc w:val="both"/>
        <w:rPr>
          <w:rFonts w:hint="eastAsia"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tbl>
      <w:tblPr>
        <w:tblStyle w:val="4"/>
        <w:tblW w:w="9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5"/>
        <w:gridCol w:w="1005"/>
        <w:gridCol w:w="1965"/>
        <w:gridCol w:w="1080"/>
        <w:gridCol w:w="1080"/>
        <w:gridCol w:w="735"/>
        <w:gridCol w:w="1305"/>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67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附件2</w:t>
            </w:r>
          </w:p>
        </w:tc>
        <w:tc>
          <w:tcPr>
            <w:tcW w:w="1005" w:type="dxa"/>
            <w:tcBorders>
              <w:top w:val="nil"/>
              <w:left w:val="nil"/>
              <w:bottom w:val="nil"/>
              <w:right w:val="nil"/>
            </w:tcBorders>
            <w:shd w:val="clear" w:color="auto" w:fill="FFFFFF"/>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1965" w:type="dxa"/>
            <w:tcBorders>
              <w:top w:val="nil"/>
              <w:left w:val="nil"/>
              <w:bottom w:val="nil"/>
              <w:right w:val="nil"/>
            </w:tcBorders>
            <w:shd w:val="clear" w:color="auto" w:fill="FFFFFF"/>
            <w:tcMar>
              <w:top w:w="15" w:type="dxa"/>
              <w:left w:w="15" w:type="dxa"/>
              <w:right w:w="15" w:type="dxa"/>
            </w:tcMar>
            <w:vAlign w:val="center"/>
          </w:tcPr>
          <w:p>
            <w:pPr>
              <w:rPr>
                <w:rFonts w:hint="eastAsia" w:ascii="黑体" w:hAnsi="宋体" w:eastAsia="黑体" w:cs="黑体"/>
                <w:i w:val="0"/>
                <w:color w:val="000000"/>
                <w:sz w:val="24"/>
                <w:szCs w:val="24"/>
                <w:u w:val="none"/>
              </w:rPr>
            </w:pPr>
          </w:p>
        </w:tc>
        <w:tc>
          <w:tcPr>
            <w:tcW w:w="108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5"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05"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9225" w:type="dxa"/>
            <w:gridSpan w:val="8"/>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德钦县2022年第一批统筹整合财政涉农资金项目绩效目标申报表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trPr>
        <w:tc>
          <w:tcPr>
            <w:tcW w:w="9225" w:type="dxa"/>
            <w:gridSpan w:val="8"/>
            <w:tcBorders>
              <w:top w:val="nil"/>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项目名称</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德钦县_产业项目_佛山乡纳古村生猪养殖场二期续建项目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项目负责人及电话</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丁争江初，电话：0887-8556169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主管部门</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农业农村局</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实施单位</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佛山乡人民政府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i w:val="0"/>
                <w:color w:val="000000"/>
                <w:kern w:val="0"/>
                <w:sz w:val="20"/>
                <w:szCs w:val="20"/>
                <w:u w:val="none"/>
                <w:lang w:val="en-US" w:eastAsia="zh-CN" w:bidi="ar"/>
              </w:rPr>
              <w:t>资金情况</w:t>
            </w:r>
          </w:p>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（万元）</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年度资金总额：</w:t>
            </w:r>
          </w:p>
        </w:tc>
        <w:tc>
          <w:tcPr>
            <w:tcW w:w="45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 xml:space="preserve">   其中：财政拨款</w:t>
            </w:r>
          </w:p>
        </w:tc>
        <w:tc>
          <w:tcPr>
            <w:tcW w:w="45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 xml:space="preserve">   其他资金</w:t>
            </w:r>
          </w:p>
        </w:tc>
        <w:tc>
          <w:tcPr>
            <w:tcW w:w="45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i w:val="0"/>
                <w:color w:val="000000"/>
                <w:kern w:val="0"/>
                <w:sz w:val="20"/>
                <w:szCs w:val="20"/>
                <w:u w:val="none"/>
                <w:lang w:val="en-US" w:eastAsia="zh-CN" w:bidi="ar"/>
              </w:rPr>
              <w:t>总体</w:t>
            </w:r>
          </w:p>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目标</w:t>
            </w:r>
          </w:p>
        </w:tc>
        <w:tc>
          <w:tcPr>
            <w:tcW w:w="855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855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通过招商引资发展生猪养殖产业，将收益分配给各村集体经济，达到增加就业岗位、提高务工收入目的。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855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仿宋_GB2312" w:hAnsi="等线"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i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i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仿宋_GB2312" w:hAnsi="等线" w:eastAsia="仿宋_GB2312" w:cs="仿宋_GB2312"/>
                <w:i w:val="0"/>
                <w:color w:val="000000"/>
                <w:kern w:val="0"/>
                <w:sz w:val="20"/>
                <w:szCs w:val="20"/>
                <w:u w:val="none"/>
                <w:lang w:val="en-US" w:eastAsia="zh-CN" w:bidi="ar"/>
              </w:rPr>
            </w:pPr>
            <w:r>
              <w:rPr>
                <w:rFonts w:hint="eastAsia" w:ascii="仿宋_GB2312" w:hAnsi="等线" w:eastAsia="仿宋_GB2312" w:cs="仿宋_GB2312"/>
                <w:i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一级指标</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二级指标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产出指标</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数量指标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纳古生猪养殖场二期建设项目数量“=**项”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数量指标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育肥产房基础部分A栋“=**</w:t>
            </w:r>
            <w:r>
              <w:rPr>
                <w:rFonts w:hint="eastAsia" w:ascii="宋体" w:hAnsi="宋体" w:eastAsia="宋体" w:cs="宋体"/>
                <w:i w:val="0"/>
                <w:color w:val="000000"/>
                <w:kern w:val="0"/>
                <w:sz w:val="20"/>
                <w:szCs w:val="20"/>
                <w:u w:val="none"/>
                <w:lang w:val="en-US" w:eastAsia="zh-CN" w:bidi="ar"/>
              </w:rPr>
              <w:t>㎡</w:t>
            </w:r>
            <w:r>
              <w:rPr>
                <w:rFonts w:hint="eastAsia" w:ascii="仿宋_GB2312" w:hAnsi="等线" w:eastAsia="仿宋_GB2312" w:cs="仿宋_GB2312"/>
                <w:i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数量指标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育肥产房基础部分B栋“=**</w:t>
            </w:r>
            <w:r>
              <w:rPr>
                <w:rFonts w:hint="eastAsia" w:ascii="宋体" w:hAnsi="宋体" w:eastAsia="宋体" w:cs="宋体"/>
                <w:i w:val="0"/>
                <w:color w:val="000000"/>
                <w:kern w:val="0"/>
                <w:sz w:val="20"/>
                <w:szCs w:val="20"/>
                <w:u w:val="none"/>
                <w:lang w:val="en-US" w:eastAsia="zh-CN" w:bidi="ar"/>
              </w:rPr>
              <w:t>㎡</w:t>
            </w:r>
            <w:r>
              <w:rPr>
                <w:rFonts w:hint="eastAsia" w:ascii="仿宋_GB2312" w:hAnsi="等线" w:eastAsia="仿宋_GB2312" w:cs="仿宋_GB2312"/>
                <w:i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985.54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数量指标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育肥产房基础部分C栋“=**</w:t>
            </w:r>
            <w:r>
              <w:rPr>
                <w:rFonts w:hint="eastAsia" w:ascii="宋体" w:hAnsi="宋体" w:eastAsia="宋体" w:cs="宋体"/>
                <w:i w:val="0"/>
                <w:color w:val="000000"/>
                <w:kern w:val="0"/>
                <w:sz w:val="20"/>
                <w:szCs w:val="20"/>
                <w:u w:val="none"/>
                <w:lang w:val="en-US" w:eastAsia="zh-CN" w:bidi="ar"/>
              </w:rPr>
              <w:t>㎡</w:t>
            </w:r>
            <w:r>
              <w:rPr>
                <w:rFonts w:hint="eastAsia" w:ascii="仿宋_GB2312" w:hAnsi="等线" w:eastAsia="仿宋_GB2312" w:cs="仿宋_GB2312"/>
                <w:i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782.43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数量指标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育肥产房基础部分D栋“=**</w:t>
            </w:r>
            <w:r>
              <w:rPr>
                <w:rFonts w:hint="eastAsia" w:ascii="宋体" w:hAnsi="宋体" w:eastAsia="宋体" w:cs="宋体"/>
                <w:i w:val="0"/>
                <w:color w:val="000000"/>
                <w:kern w:val="0"/>
                <w:sz w:val="20"/>
                <w:szCs w:val="20"/>
                <w:u w:val="none"/>
                <w:lang w:val="en-US" w:eastAsia="zh-CN" w:bidi="ar"/>
              </w:rPr>
              <w:t>㎡</w:t>
            </w:r>
            <w:r>
              <w:rPr>
                <w:rFonts w:hint="eastAsia" w:ascii="仿宋_GB2312" w:hAnsi="等线" w:eastAsia="仿宋_GB2312" w:cs="仿宋_GB2312"/>
                <w:i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862.13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数量指标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育肥产房基础部分F栋“=**</w:t>
            </w:r>
            <w:r>
              <w:rPr>
                <w:rFonts w:hint="eastAsia" w:ascii="宋体" w:hAnsi="宋体" w:eastAsia="宋体" w:cs="宋体"/>
                <w:i w:val="0"/>
                <w:color w:val="000000"/>
                <w:kern w:val="0"/>
                <w:sz w:val="20"/>
                <w:szCs w:val="20"/>
                <w:u w:val="none"/>
                <w:lang w:val="en-US" w:eastAsia="zh-CN" w:bidi="ar"/>
              </w:rPr>
              <w:t>㎡</w:t>
            </w:r>
            <w:r>
              <w:rPr>
                <w:rFonts w:hint="eastAsia" w:ascii="仿宋_GB2312" w:hAnsi="等线" w:eastAsia="仿宋_GB2312" w:cs="仿宋_GB2312"/>
                <w:i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1522.86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效益指标</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社会效益指标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 xml:space="preserve">    ★★★ 项目建成验收合格率“≥**%”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社会效益指标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购置设备质量合格率“≥**%”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社会效益指标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 xml:space="preserve">    ★★项目建成后投入使用率“≥**%”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社会效益指标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完成纳古生猪养殖场场地平整“=**</w:t>
            </w:r>
            <w:r>
              <w:rPr>
                <w:rFonts w:hint="eastAsia" w:ascii="宋体" w:hAnsi="宋体" w:eastAsia="宋体" w:cs="宋体"/>
                <w:i w:val="0"/>
                <w:color w:val="000000"/>
                <w:kern w:val="0"/>
                <w:sz w:val="20"/>
                <w:szCs w:val="20"/>
                <w:u w:val="none"/>
                <w:lang w:val="en-US" w:eastAsia="zh-CN" w:bidi="ar"/>
              </w:rPr>
              <w:t>㎡</w:t>
            </w:r>
            <w:r>
              <w:rPr>
                <w:rFonts w:hint="eastAsia" w:ascii="仿宋_GB2312" w:hAnsi="等线" w:eastAsia="仿宋_GB2312" w:cs="仿宋_GB2312"/>
                <w:i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社会效益指标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项目建设完成时间“≤**月”</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社会效益指标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完成挡土墙部分建设“=**</w:t>
            </w:r>
            <w:r>
              <w:rPr>
                <w:rFonts w:hint="eastAsia" w:ascii="宋体" w:hAnsi="宋体" w:eastAsia="宋体" w:cs="宋体"/>
                <w:i w:val="0"/>
                <w:color w:val="000000"/>
                <w:kern w:val="0"/>
                <w:sz w:val="20"/>
                <w:szCs w:val="20"/>
                <w:u w:val="none"/>
                <w:lang w:val="en-US" w:eastAsia="zh-CN" w:bidi="ar"/>
              </w:rPr>
              <w:t>㎡</w:t>
            </w:r>
            <w:r>
              <w:rPr>
                <w:rFonts w:hint="eastAsia" w:ascii="仿宋_GB2312" w:hAnsi="等线" w:eastAsia="仿宋_GB2312" w:cs="仿宋_GB2312"/>
                <w:i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社会效益指标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项目验收及时“≤**月”</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社会效益指标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★项目建成后及时投入运营“≤**月”</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社会效益指标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★★项目建设过程中带动就业农民完成人均收入增收“≥**万元”</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社会效益指标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建成后新增生猪养殖数量“≥**头”</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可持续影响指标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建成后使用年限“≥**年”</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社会效益指标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★★★受益建档立卡贫困人口数“≥**人”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满意度指标</w:t>
            </w: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服务对象满意度指标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收益群众满意度“≥**%”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hint="eastAsia" w:ascii="仿宋_GB2312" w:hAnsi="等线" w:eastAsia="仿宋_GB2312" w:cs="仿宋_GB2312"/>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服务对象满意度指标</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农业经营主体满意度“≥**%”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9225" w:type="dxa"/>
            <w:gridSpan w:val="8"/>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0"/>
                <w:szCs w:val="20"/>
                <w:u w:val="none"/>
              </w:rPr>
            </w:pPr>
            <w:r>
              <w:rPr>
                <w:rFonts w:hint="eastAsia" w:ascii="仿宋_GB2312" w:hAnsi="等线" w:eastAsia="仿宋_GB2312" w:cs="仿宋_GB2312"/>
                <w:i w:val="0"/>
                <w:color w:val="000000"/>
                <w:kern w:val="0"/>
                <w:sz w:val="20"/>
                <w:szCs w:val="20"/>
                <w:u w:val="none"/>
                <w:lang w:val="en-US" w:eastAsia="zh-CN" w:bidi="ar"/>
              </w:rPr>
              <w:t>经办人（电话号码）：余鑫  13988733994    单位负责人：丁争江初 上报日期：2022年3月18日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F77D80-E41E-4EA3-931A-1128CE401F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4812522-F59C-4AE8-97FE-93120BEC3B1E}"/>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E5DB6DD0-FC7B-4E3D-8EB9-D69FA56A0004}"/>
  </w:font>
  <w:font w:name="方正仿宋简体">
    <w:altName w:val="微软雅黑"/>
    <w:panose1 w:val="02010601030101010101"/>
    <w:charset w:val="86"/>
    <w:family w:val="script"/>
    <w:pitch w:val="default"/>
    <w:sig w:usb0="00000000" w:usb1="00000000" w:usb2="00000000" w:usb3="00000000" w:csb0="00040000" w:csb1="00000000"/>
    <w:embedRegular r:id="rId4" w:fontKey="{008F71CF-9FB2-455E-95B0-FA03796FD2E6}"/>
  </w:font>
  <w:font w:name="仿宋">
    <w:panose1 w:val="02010609060101010101"/>
    <w:charset w:val="86"/>
    <w:family w:val="auto"/>
    <w:pitch w:val="default"/>
    <w:sig w:usb0="800002BF" w:usb1="38CF7CFA" w:usb2="00000016" w:usb3="00000000" w:csb0="00040001" w:csb1="00000000"/>
    <w:embedRegular r:id="rId5" w:fontKey="{3B795942-DEE3-4FB0-8E98-D4BE94EFFD53}"/>
  </w:font>
  <w:font w:name="等线">
    <w:altName w:val="微软雅黑"/>
    <w:panose1 w:val="00000000000000000000"/>
    <w:charset w:val="00"/>
    <w:family w:val="auto"/>
    <w:pitch w:val="default"/>
    <w:sig w:usb0="00000000" w:usb1="00000000" w:usb2="00000000" w:usb3="00000000" w:csb0="00000000" w:csb1="00000000"/>
    <w:embedRegular r:id="rId6" w:fontKey="{9D098E32-7063-4942-B81A-0A184CB4726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a0856491-34b9-45a9-afe7-69d6ab0f682b"/>
  </w:docVars>
  <w:rsids>
    <w:rsidRoot w:val="5E533A5A"/>
    <w:rsid w:val="1ECF3E9F"/>
    <w:rsid w:val="33EC0C30"/>
    <w:rsid w:val="5E533A5A"/>
    <w:rsid w:val="68277D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1785</Words>
  <Characters>1959</Characters>
  <Lines>0</Lines>
  <Paragraphs>0</Paragraphs>
  <TotalTime>0</TotalTime>
  <ScaleCrop>false</ScaleCrop>
  <LinksUpToDate>false</LinksUpToDate>
  <CharactersWithSpaces>2009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2022-03-21T09:12:00Z</dcterms:created>
  <dc:creator>雾里看花</dc:creator>
  <cp:lastModifiedBy>扶桑</cp:lastModifiedBy>
  <dcterms:modified xsi:type="dcterms:W3CDTF">2024-07-18T02:43:26Z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1D14CE6FF9C94CC880B71B5ECBC340DC_12</vt:lpwstr>
  </property>
</Properties>
</file>